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0223D" w:rsidR="00F0223D" w:rsidRDefault="00F0223D" w14:paraId="0F554C49" w14:textId="24B422E5">
      <w:pPr>
        <w:rPr>
          <w:b/>
          <w:bCs/>
          <w:color w:val="1F4E79"/>
        </w:rPr>
      </w:pPr>
      <w:r w:rsidRPr="00F0223D">
        <w:rPr>
          <w:b/>
          <w:bCs/>
          <w:color w:val="1F4E79"/>
        </w:rPr>
        <w:t>Shaping the VCSE</w:t>
      </w:r>
      <w:r>
        <w:rPr>
          <w:b/>
          <w:bCs/>
          <w:color w:val="1F4E79"/>
        </w:rPr>
        <w:t xml:space="preserve"> </w:t>
      </w:r>
      <w:r w:rsidRPr="00F0223D">
        <w:rPr>
          <w:b/>
          <w:bCs/>
          <w:color w:val="1F4E79"/>
        </w:rPr>
        <w:t xml:space="preserve">Anchor Role in Integrated Neighbourhood Teams  </w:t>
      </w:r>
    </w:p>
    <w:p w:rsidRPr="00F0223D" w:rsidR="00122A3C" w:rsidRDefault="00122A3C" w14:paraId="1C73AA86" w14:textId="216A8AA3">
      <w:pPr>
        <w:rPr>
          <w:lang w:eastAsia="en-GB"/>
        </w:rPr>
      </w:pPr>
      <w:r w:rsidRPr="00F0223D">
        <w:rPr>
          <w:b/>
          <w:bCs/>
          <w:color w:val="1F4E79"/>
        </w:rPr>
        <w:t>Executive summary</w:t>
      </w:r>
    </w:p>
    <w:p w:rsidR="00444083" w:rsidP="0000576C" w:rsidRDefault="00372EE2" w14:paraId="2A9A3FA8" w14:textId="77777777">
      <w:r>
        <w:t xml:space="preserve">Integrated Neighbourhood Teams </w:t>
      </w:r>
      <w:r w:rsidRPr="00D601AA" w:rsidR="00D601AA">
        <w:t>create</w:t>
      </w:r>
      <w:r>
        <w:t xml:space="preserve"> an opportunity for the VCSE sector to take a formal role in neighbourhood-level planning, delivery and transformation. Current proposals envisage VCSE Anchor Organisations aligned to the 17 GP Federation footprints and participating as part of core INT membership.</w:t>
      </w:r>
    </w:p>
    <w:p w:rsidR="00444083" w:rsidP="00C83C2F" w:rsidRDefault="00372EE2" w14:paraId="044DBD5A" w14:textId="77777777">
      <w:r>
        <w:t xml:space="preserve">Engagement with VCSE members </w:t>
      </w:r>
      <w:r w:rsidRPr="004074D8" w:rsidR="004074D8">
        <w:t>supports</w:t>
      </w:r>
      <w:r>
        <w:t xml:space="preserve"> an Anchor role that is more than a representative seat</w:t>
      </w:r>
      <w:r w:rsidRPr="004074D8" w:rsidR="004074D8">
        <w:t>:</w:t>
      </w:r>
      <w:r>
        <w:t xml:space="preserve"> a funded neighbourhood leadership, engagement and intelligence function</w:t>
      </w:r>
      <w:r w:rsidRPr="004074D8" w:rsidR="004074D8">
        <w:t>. The emerging direction is a hybrid place/population model, rooted in local geographies while enabling specialist expertise to step up and down as INT priorities change.</w:t>
      </w:r>
    </w:p>
    <w:p w:rsidR="00444083" w:rsidP="00303C2D" w:rsidRDefault="00253766" w14:paraId="0D85D4C4" w14:textId="77777777">
      <w:r w:rsidRPr="00253766">
        <w:t>The one-day/7.5-hour participation assumption should be treated as the minimum cost of formal INT participation. Additional funding would be required if Anchors are expected to convene networks, gather intelligence, coordinate specialist input and maintain accountability to the wider VCSE sector.</w:t>
      </w:r>
    </w:p>
    <w:p w:rsidR="00122A3C" w:rsidRDefault="00122A3C" w14:paraId="2500A23C" w14:textId="77777777">
      <w:pPr>
        <w:rPr>
          <w:lang w:eastAsia="en-GB"/>
        </w:rPr>
      </w:pPr>
      <w:r>
        <w:t>The session therefore seeks to test consensus on the purpose and scope of the Anchor role, the preferred model for VCSE involvement, how Anchors should connect with existing local structures, and the support, capacity and funding required to make the role viable across all 17 INT areas.</w:t>
      </w:r>
    </w:p>
    <w:p w:rsidRPr="00F0223D" w:rsidR="00BC2D33" w:rsidRDefault="00BC2D33" w14:paraId="4E263F26" w14:textId="11826850">
      <w:pPr>
        <w:rPr>
          <w:lang w:eastAsia="en-GB"/>
        </w:rPr>
      </w:pPr>
      <w:r w:rsidRPr="00F0223D">
        <w:rPr>
          <w:b/>
          <w:bCs/>
        </w:rPr>
        <w:t xml:space="preserve">Purpose of this </w:t>
      </w:r>
      <w:r w:rsidR="00B00D17">
        <w:rPr>
          <w:b/>
          <w:bCs/>
        </w:rPr>
        <w:t>process</w:t>
      </w:r>
      <w:r w:rsidRPr="00F0223D">
        <w:rPr>
          <w:b/>
          <w:bCs/>
        </w:rPr>
        <w:t xml:space="preserve">: </w:t>
      </w:r>
    </w:p>
    <w:p w:rsidR="00BC2D33" w:rsidRDefault="00BC2D33" w14:paraId="75165D2C" w14:textId="2C4E7B6C">
      <w:pPr>
        <w:rPr>
          <w:lang w:eastAsia="en-GB"/>
        </w:rPr>
      </w:pPr>
      <w:r>
        <w:t>T</w:t>
      </w:r>
      <w:r w:rsidR="00B00D17">
        <w:t>his process</w:t>
      </w:r>
      <w:r>
        <w:t xml:space="preserve"> is to identify areas of consensus, and any areas where further discussion is required, across four key issues:</w:t>
      </w:r>
    </w:p>
    <w:p w:rsidR="00BC2D33" w:rsidP="00372EE2" w:rsidRDefault="00BC2D33" w14:paraId="5D148E90" w14:textId="77777777">
      <w:pPr>
        <w:pStyle w:val="ListParagraph"/>
        <w:numPr>
          <w:ilvl w:val="0"/>
          <w:numId w:val="9"/>
        </w:numPr>
        <w:spacing w:line="278" w:lineRule="auto"/>
        <w:rPr>
          <w:lang w:eastAsia="en-GB"/>
        </w:rPr>
      </w:pPr>
      <w:r w:rsidRPr="00BC2D33">
        <w:t>The VCSE Anchor role</w:t>
      </w:r>
    </w:p>
    <w:p w:rsidR="00BC2D33" w:rsidP="00372EE2" w:rsidRDefault="00BC2D33" w14:paraId="78AE16A8" w14:textId="77777777">
      <w:pPr>
        <w:pStyle w:val="ListParagraph"/>
        <w:numPr>
          <w:ilvl w:val="0"/>
          <w:numId w:val="9"/>
        </w:numPr>
        <w:spacing w:line="278" w:lineRule="auto"/>
      </w:pPr>
      <w:r>
        <w:t>The preferred model for VCSE involvement</w:t>
      </w:r>
    </w:p>
    <w:p w:rsidR="00BC2D33" w:rsidP="00372EE2" w:rsidRDefault="00BC2D33" w14:paraId="49A81DE5" w14:textId="77777777">
      <w:pPr>
        <w:pStyle w:val="ListParagraph"/>
        <w:numPr>
          <w:ilvl w:val="0"/>
          <w:numId w:val="9"/>
        </w:numPr>
        <w:spacing w:line="278" w:lineRule="auto"/>
      </w:pPr>
      <w:r>
        <w:t>How VCSE Anchors connect with local networks and existing structures</w:t>
      </w:r>
    </w:p>
    <w:p w:rsidR="00BC2D33" w:rsidP="00372EE2" w:rsidRDefault="00BC2D33" w14:paraId="518FC590" w14:textId="77777777">
      <w:pPr>
        <w:pStyle w:val="ListParagraph"/>
        <w:numPr>
          <w:ilvl w:val="0"/>
          <w:numId w:val="9"/>
        </w:numPr>
        <w:spacing w:line="278" w:lineRule="auto"/>
      </w:pPr>
      <w:r>
        <w:t>The support, capacity and funding required for Anchor Organisations</w:t>
      </w:r>
    </w:p>
    <w:p w:rsidRPr="00B00D17" w:rsidR="006D541B" w:rsidP="006D541B" w:rsidRDefault="006D541B" w14:paraId="145D8F90" w14:textId="77777777">
      <w:pPr>
        <w:rPr>
          <w:b/>
          <w:bCs/>
        </w:rPr>
      </w:pPr>
      <w:r w:rsidRPr="00B00D17">
        <w:rPr>
          <w:b/>
          <w:bCs/>
        </w:rPr>
        <w:t>Context:</w:t>
      </w:r>
    </w:p>
    <w:p w:rsidR="001F3EA1" w:rsidRDefault="001F3EA1" w14:paraId="4198257D" w14:textId="77777777">
      <w:pPr>
        <w:rPr>
          <w:lang w:eastAsia="en-GB"/>
        </w:rPr>
      </w:pPr>
      <w:r>
        <w:t>The initial 2026/27 INT focus is expected to be older people, particularly people living with frailty and those requiring end-of-life care. This makes the design of the Anchor role especially important: Anchors will need to bring place-based legitimacy while also connecting INTs to relevant specialist expertise. A key question for discussion is whether Anchors should be selected primarily for local credibility, population-specific expertise, or the ability to combine both.</w:t>
      </w:r>
    </w:p>
    <w:p w:rsidRPr="00B00D17" w:rsidR="006D541B" w:rsidRDefault="006D541B" w14:paraId="3A5E200E" w14:textId="23A0A730">
      <w:pPr>
        <w:rPr>
          <w:b/>
          <w:bCs/>
        </w:rPr>
      </w:pPr>
      <w:r w:rsidRPr="00B00D17">
        <w:rPr>
          <w:b/>
          <w:bCs/>
        </w:rPr>
        <w:t xml:space="preserve">Engagement to date: </w:t>
      </w:r>
    </w:p>
    <w:p w:rsidR="00457C61" w:rsidP="00372EE2" w:rsidRDefault="00457C61" w14:paraId="15B00EB1" w14:textId="13563243">
      <w:pPr>
        <w:pStyle w:val="ListParagraph"/>
        <w:numPr>
          <w:ilvl w:val="0"/>
          <w:numId w:val="6"/>
        </w:numPr>
        <w:rPr>
          <w:rFonts w:asciiTheme="minorHAnsi" w:hAnsiTheme="minorHAnsi" w:cstheme="minorBidi"/>
        </w:rPr>
      </w:pPr>
      <w:r w:rsidRPr="00457C61">
        <w:t>Three</w:t>
      </w:r>
      <w:r w:rsidR="00B00D17">
        <w:t xml:space="preserve"> DoH/ SPPG led</w:t>
      </w:r>
      <w:r w:rsidRPr="00457C61">
        <w:t xml:space="preserve"> INT development engagement sessions have taken place, with 30 VCSE sector representatives attending or engaging.</w:t>
      </w:r>
    </w:p>
    <w:p w:rsidR="00355572" w:rsidP="00372EE2" w:rsidRDefault="00355572" w14:paraId="5B770179" w14:textId="278E3833">
      <w:pPr>
        <w:pStyle w:val="ListParagraph"/>
        <w:numPr>
          <w:ilvl w:val="0"/>
          <w:numId w:val="6"/>
        </w:numPr>
        <w:rPr>
          <w:rFonts w:asciiTheme="minorHAnsi" w:hAnsiTheme="minorHAnsi" w:cstheme="minorBidi"/>
        </w:rPr>
      </w:pPr>
      <w:r>
        <w:t>Th</w:t>
      </w:r>
      <w:r w:rsidR="000B3C26">
        <w:t>is paper</w:t>
      </w:r>
      <w:r>
        <w:t xml:space="preserve"> has been informed by VCSE survey responses, INT development discussions, wider leadership conversations, </w:t>
      </w:r>
      <w:r w:rsidR="000B3C26">
        <w:t xml:space="preserve">review of other VCSE </w:t>
      </w:r>
      <w:r>
        <w:t>relevant Anchor models and material from INT Development Day 3.</w:t>
      </w:r>
    </w:p>
    <w:p w:rsidR="00457C61" w:rsidP="00372EE2" w:rsidRDefault="00457C61" w14:paraId="42458ADD" w14:textId="77777777">
      <w:pPr>
        <w:pStyle w:val="ListParagraph"/>
        <w:numPr>
          <w:ilvl w:val="0"/>
          <w:numId w:val="6"/>
        </w:numPr>
        <w:rPr>
          <w:rFonts w:asciiTheme="minorHAnsi" w:hAnsiTheme="minorHAnsi" w:cstheme="minorBidi"/>
        </w:rPr>
      </w:pPr>
      <w:r>
        <w:t>Key themes include role, model options, selection, local networks, priority populations, accountability, support and funding.</w:t>
      </w:r>
    </w:p>
    <w:p w:rsidR="00ED40C0" w:rsidRDefault="00ED40C0" w14:paraId="5B8D52D8" w14:textId="77777777">
      <w:pPr>
        <w:rPr>
          <w:lang w:eastAsia="en-GB"/>
        </w:rPr>
      </w:pPr>
      <w:r>
        <w:t>The following sections summarise the main points emerging from engagement to date and are structured around the workshop discussion themes.</w:t>
      </w:r>
    </w:p>
    <w:p w:rsidRPr="000B3C26" w:rsidR="006D541B" w:rsidP="006B124B" w:rsidRDefault="00372EE2" w14:paraId="789A43AC" w14:textId="77777777">
      <w:pPr>
        <w:rPr>
          <w:b/>
          <w:bCs/>
        </w:rPr>
      </w:pPr>
      <w:r w:rsidRPr="000B3C26">
        <w:rPr>
          <w:b/>
          <w:bCs/>
        </w:rPr>
        <w:t>Feedback to date from VCSE discussions</w:t>
      </w:r>
    </w:p>
    <w:p w:rsidRPr="000B3C26" w:rsidR="00076BD1" w:rsidP="00DA7FDD" w:rsidRDefault="00C44C58" w14:paraId="3C60448B" w14:textId="77777777">
      <w:r w:rsidRPr="000B3C26">
        <w:rPr>
          <w:b/>
          <w:bCs/>
        </w:rPr>
        <w:t xml:space="preserve">1. </w:t>
      </w:r>
      <w:r w:rsidRPr="000B3C26" w:rsidR="00372EE2">
        <w:rPr>
          <w:b/>
          <w:bCs/>
        </w:rPr>
        <w:t>VCSE Anchor role</w:t>
      </w:r>
    </w:p>
    <w:p w:rsidRPr="000B3C26" w:rsidR="00E4283D" w:rsidP="001C55DB" w:rsidRDefault="00E4283D" w14:paraId="3D04BDCA" w14:textId="77777777">
      <w:pPr>
        <w:pStyle w:val="ListBullet"/>
        <w:tabs>
          <w:tab w:val="clear" w:pos="360"/>
          <w:tab w:val="num" w:pos="720"/>
        </w:tabs>
        <w:ind w:left="720"/>
        <w:rPr>
          <w:rFonts w:ascii="Arial" w:hAnsi="Arial"/>
          <w:sz w:val="24"/>
          <w:szCs w:val="24"/>
          <w:lang w:eastAsia="en-GB"/>
        </w:rPr>
      </w:pPr>
      <w:r w:rsidRPr="000B3C26">
        <w:rPr>
          <w:rFonts w:ascii="Arial" w:hAnsi="Arial"/>
          <w:b/>
          <w:bCs/>
          <w:color w:val="1F4E79"/>
          <w:sz w:val="24"/>
          <w:szCs w:val="24"/>
        </w:rPr>
        <w:t xml:space="preserve">Core INT participation: </w:t>
      </w:r>
      <w:r w:rsidRPr="000B3C26">
        <w:rPr>
          <w:rFonts w:ascii="Arial" w:hAnsi="Arial"/>
          <w:sz w:val="24"/>
          <w:szCs w:val="24"/>
        </w:rPr>
        <w:t>Participate as the VCSE member of the core INT membership, bringing sector insight into planning, delivery and review.</w:t>
      </w:r>
    </w:p>
    <w:p w:rsidRPr="000B3C26" w:rsidR="00E4283D" w:rsidP="001C55DB" w:rsidRDefault="00E4283D" w14:paraId="15B6C850" w14:textId="77777777">
      <w:pPr>
        <w:pStyle w:val="ListBullet"/>
        <w:tabs>
          <w:tab w:val="clear" w:pos="360"/>
          <w:tab w:val="num" w:pos="720"/>
        </w:tabs>
        <w:ind w:left="720"/>
        <w:rPr>
          <w:rFonts w:ascii="Arial" w:hAnsi="Arial"/>
          <w:sz w:val="24"/>
          <w:szCs w:val="24"/>
          <w:lang w:eastAsia="en-GB"/>
        </w:rPr>
      </w:pPr>
      <w:r w:rsidRPr="000B3C26">
        <w:rPr>
          <w:rFonts w:ascii="Arial" w:hAnsi="Arial"/>
          <w:b/>
          <w:bCs/>
          <w:color w:val="1F4E79"/>
          <w:sz w:val="24"/>
          <w:szCs w:val="24"/>
        </w:rPr>
        <w:t xml:space="preserve">Representation and accountability: </w:t>
      </w:r>
      <w:r w:rsidRPr="000B3C26">
        <w:rPr>
          <w:rFonts w:ascii="Arial" w:hAnsi="Arial"/>
          <w:sz w:val="24"/>
          <w:szCs w:val="24"/>
        </w:rPr>
        <w:t>Represent the collective VCSE interest, maintain transparent feedback routes and avoid acting only for the Anchor’s home/employing organisation.</w:t>
      </w:r>
    </w:p>
    <w:p w:rsidRPr="000B3C26" w:rsidR="00E4283D" w:rsidP="001C55DB" w:rsidRDefault="00E4283D" w14:paraId="2AFCB1F0" w14:textId="77777777">
      <w:pPr>
        <w:pStyle w:val="ListBullet"/>
        <w:tabs>
          <w:tab w:val="clear" w:pos="360"/>
          <w:tab w:val="num" w:pos="720"/>
        </w:tabs>
        <w:ind w:left="720"/>
        <w:rPr>
          <w:rFonts w:ascii="Arial" w:hAnsi="Arial"/>
          <w:sz w:val="24"/>
          <w:szCs w:val="24"/>
          <w:lang w:eastAsia="en-GB"/>
        </w:rPr>
      </w:pPr>
      <w:r w:rsidRPr="000B3C26">
        <w:rPr>
          <w:rFonts w:ascii="Arial" w:hAnsi="Arial"/>
          <w:b/>
          <w:bCs/>
          <w:color w:val="1F4E79"/>
          <w:sz w:val="24"/>
          <w:szCs w:val="24"/>
        </w:rPr>
        <w:t xml:space="preserve">Community intelligence: </w:t>
      </w:r>
      <w:r w:rsidRPr="000B3C26">
        <w:rPr>
          <w:rFonts w:ascii="Arial" w:hAnsi="Arial"/>
          <w:sz w:val="24"/>
          <w:szCs w:val="24"/>
        </w:rPr>
        <w:t>Bring local knowledge, lived experience, carer insight, community assets and unmet need into INT planning and review.</w:t>
      </w:r>
    </w:p>
    <w:p w:rsidRPr="000B3C26" w:rsidR="00E4283D" w:rsidP="001C55DB" w:rsidRDefault="00E4283D" w14:paraId="32F48C8D" w14:textId="77777777">
      <w:pPr>
        <w:pStyle w:val="ListBullet"/>
        <w:tabs>
          <w:tab w:val="clear" w:pos="360"/>
          <w:tab w:val="num" w:pos="720"/>
        </w:tabs>
        <w:ind w:left="720"/>
        <w:rPr>
          <w:rFonts w:ascii="Arial" w:hAnsi="Arial"/>
          <w:sz w:val="24"/>
          <w:szCs w:val="24"/>
          <w:lang w:eastAsia="en-GB"/>
        </w:rPr>
      </w:pPr>
      <w:r w:rsidRPr="000B3C26">
        <w:rPr>
          <w:rFonts w:ascii="Arial" w:hAnsi="Arial"/>
          <w:b/>
          <w:bCs/>
          <w:color w:val="1F4E79"/>
          <w:sz w:val="24"/>
          <w:szCs w:val="24"/>
        </w:rPr>
        <w:t xml:space="preserve">Population health and community resources: </w:t>
      </w:r>
      <w:r w:rsidRPr="000B3C26">
        <w:rPr>
          <w:rFonts w:ascii="Arial" w:hAnsi="Arial"/>
          <w:sz w:val="24"/>
          <w:szCs w:val="24"/>
        </w:rPr>
        <w:t>Support risk stratification, proactive care planning, community resource use, prevention and care closer to home.</w:t>
      </w:r>
    </w:p>
    <w:p w:rsidRPr="000B3C26" w:rsidR="00E4283D" w:rsidP="001C55DB" w:rsidRDefault="00E4283D" w14:paraId="08B599E5" w14:textId="77777777">
      <w:pPr>
        <w:pStyle w:val="ListBullet"/>
        <w:tabs>
          <w:tab w:val="clear" w:pos="360"/>
          <w:tab w:val="num" w:pos="720"/>
        </w:tabs>
        <w:ind w:left="720"/>
        <w:rPr>
          <w:rFonts w:ascii="Arial" w:hAnsi="Arial"/>
          <w:sz w:val="24"/>
          <w:szCs w:val="24"/>
          <w:lang w:eastAsia="en-GB"/>
        </w:rPr>
      </w:pPr>
      <w:r w:rsidRPr="000B3C26">
        <w:rPr>
          <w:rFonts w:ascii="Arial" w:hAnsi="Arial"/>
          <w:b/>
          <w:bCs/>
          <w:color w:val="1F4E79"/>
          <w:sz w:val="24"/>
          <w:szCs w:val="24"/>
        </w:rPr>
        <w:t xml:space="preserve">Transformation and specialist input: </w:t>
      </w:r>
      <w:r w:rsidRPr="000B3C26">
        <w:rPr>
          <w:rFonts w:ascii="Arial" w:hAnsi="Arial"/>
          <w:sz w:val="24"/>
          <w:szCs w:val="24"/>
        </w:rPr>
        <w:t>Contribute to service transformation and coordinate step-up / step-down specialist VCSE expertise as INT priorities change.</w:t>
      </w:r>
    </w:p>
    <w:p w:rsidRPr="000B3C26" w:rsidR="00076BD1" w:rsidP="001C55DB" w:rsidRDefault="00372EE2" w14:paraId="1B6E98F8" w14:textId="77777777">
      <w:pPr>
        <w:pStyle w:val="ListBullet"/>
        <w:numPr>
          <w:ilvl w:val="0"/>
          <w:numId w:val="0"/>
        </w:numPr>
        <w:ind w:left="360" w:hanging="360"/>
        <w:rPr>
          <w:rFonts w:ascii="Arial" w:hAnsi="Arial"/>
          <w:b/>
          <w:bCs/>
          <w:sz w:val="24"/>
          <w:szCs w:val="24"/>
        </w:rPr>
      </w:pPr>
      <w:r w:rsidRPr="000B3C26">
        <w:rPr>
          <w:rFonts w:ascii="Arial" w:hAnsi="Arial"/>
          <w:b/>
          <w:bCs/>
          <w:sz w:val="24"/>
          <w:szCs w:val="24"/>
        </w:rPr>
        <w:t xml:space="preserve">Selection considerations for VCSE Anchor </w:t>
      </w:r>
      <w:r w:rsidRPr="000B3C26" w:rsidR="00A240BF">
        <w:rPr>
          <w:rFonts w:ascii="Arial" w:hAnsi="Arial"/>
          <w:b/>
          <w:bCs/>
          <w:sz w:val="24"/>
          <w:szCs w:val="24"/>
        </w:rPr>
        <w:t>Organisations</w:t>
      </w:r>
    </w:p>
    <w:p w:rsidRPr="000B3C26" w:rsidR="00D84BF4" w:rsidP="001C55DB" w:rsidRDefault="00D84BF4" w14:paraId="5AAA283D" w14:textId="77777777">
      <w:pPr>
        <w:pStyle w:val="ListBullet"/>
        <w:tabs>
          <w:tab w:val="clear" w:pos="360"/>
          <w:tab w:val="num" w:pos="720"/>
        </w:tabs>
        <w:ind w:left="720"/>
        <w:rPr>
          <w:rFonts w:ascii="Arial" w:hAnsi="Arial"/>
          <w:sz w:val="24"/>
          <w:szCs w:val="24"/>
          <w:lang w:eastAsia="en-GB"/>
        </w:rPr>
      </w:pPr>
      <w:r w:rsidRPr="000B3C26">
        <w:rPr>
          <w:rFonts w:ascii="Arial" w:hAnsi="Arial"/>
          <w:b/>
          <w:bCs/>
          <w:color w:val="1F4E79"/>
          <w:sz w:val="24"/>
          <w:szCs w:val="24"/>
        </w:rPr>
        <w:t xml:space="preserve">Local legitimacy and delivery: </w:t>
      </w:r>
      <w:r w:rsidRPr="000B3C26">
        <w:rPr>
          <w:rFonts w:ascii="Arial" w:hAnsi="Arial"/>
          <w:sz w:val="24"/>
          <w:szCs w:val="24"/>
        </w:rPr>
        <w:t>Evidence of relationships, credibility and delivery within the relevant GP Federation area.</w:t>
      </w:r>
    </w:p>
    <w:p w:rsidRPr="000B3C26" w:rsidR="00D84BF4" w:rsidP="001C55DB" w:rsidRDefault="00D84BF4" w14:paraId="4CD693C9" w14:textId="77777777">
      <w:pPr>
        <w:pStyle w:val="ListBullet"/>
        <w:tabs>
          <w:tab w:val="clear" w:pos="360"/>
          <w:tab w:val="num" w:pos="720"/>
        </w:tabs>
        <w:ind w:left="720"/>
        <w:rPr>
          <w:rFonts w:ascii="Arial" w:hAnsi="Arial"/>
          <w:sz w:val="24"/>
          <w:szCs w:val="24"/>
        </w:rPr>
      </w:pPr>
      <w:r w:rsidRPr="000B3C26">
        <w:rPr>
          <w:rFonts w:ascii="Arial" w:hAnsi="Arial"/>
          <w:b/>
          <w:bCs/>
          <w:color w:val="1F4E79"/>
          <w:sz w:val="24"/>
          <w:szCs w:val="24"/>
        </w:rPr>
        <w:t xml:space="preserve">Priority population and specialist reach: </w:t>
      </w:r>
      <w:r w:rsidRPr="000B3C26">
        <w:rPr>
          <w:rFonts w:ascii="Arial" w:hAnsi="Arial"/>
          <w:sz w:val="24"/>
          <w:szCs w:val="24"/>
        </w:rPr>
        <w:t>Connection to older people, frailty, carers, care homes, palliative/end-of-life care, or ability to convene this expertise.</w:t>
      </w:r>
    </w:p>
    <w:p w:rsidRPr="000B3C26" w:rsidR="00D84BF4" w:rsidP="001C55DB" w:rsidRDefault="00D84BF4" w14:paraId="5EF067E0" w14:textId="77777777">
      <w:pPr>
        <w:pStyle w:val="ListBullet"/>
        <w:tabs>
          <w:tab w:val="clear" w:pos="360"/>
          <w:tab w:val="num" w:pos="720"/>
        </w:tabs>
        <w:ind w:left="720"/>
        <w:rPr>
          <w:rFonts w:ascii="Arial" w:hAnsi="Arial"/>
          <w:sz w:val="24"/>
          <w:szCs w:val="24"/>
        </w:rPr>
      </w:pPr>
      <w:r w:rsidRPr="000B3C26">
        <w:rPr>
          <w:rFonts w:ascii="Arial" w:hAnsi="Arial"/>
          <w:b/>
          <w:bCs/>
          <w:color w:val="1F4E79"/>
          <w:sz w:val="24"/>
          <w:szCs w:val="24"/>
        </w:rPr>
        <w:t xml:space="preserve">System leadership and convening: </w:t>
      </w:r>
      <w:r w:rsidRPr="000B3C26">
        <w:rPr>
          <w:rFonts w:ascii="Arial" w:hAnsi="Arial"/>
          <w:sz w:val="24"/>
          <w:szCs w:val="24"/>
        </w:rPr>
        <w:t>Ability to work as an equal partner, engage smaller VCSE organisations and communicate sector intelligence.</w:t>
      </w:r>
    </w:p>
    <w:p w:rsidRPr="000B3C26" w:rsidR="00227BA4" w:rsidP="001C55DB" w:rsidRDefault="00227BA4" w14:paraId="675A3654" w14:textId="77777777">
      <w:pPr>
        <w:pStyle w:val="ListBullet"/>
        <w:tabs>
          <w:tab w:val="clear" w:pos="360"/>
          <w:tab w:val="num" w:pos="720"/>
        </w:tabs>
        <w:ind w:left="720"/>
        <w:rPr>
          <w:rFonts w:ascii="Arial" w:hAnsi="Arial"/>
          <w:sz w:val="24"/>
          <w:szCs w:val="24"/>
        </w:rPr>
      </w:pPr>
      <w:r w:rsidRPr="000B3C26">
        <w:rPr>
          <w:rFonts w:ascii="Arial" w:hAnsi="Arial"/>
          <w:b/>
          <w:bCs/>
          <w:color w:val="1F4E79"/>
          <w:sz w:val="24"/>
          <w:szCs w:val="24"/>
        </w:rPr>
        <w:t xml:space="preserve">Governance and accountability: </w:t>
      </w:r>
      <w:r w:rsidRPr="000B3C26">
        <w:rPr>
          <w:rFonts w:ascii="Arial" w:hAnsi="Arial"/>
          <w:sz w:val="24"/>
          <w:szCs w:val="24"/>
        </w:rPr>
        <w:t>Transparent arrangements for mandate, feedback, conflict of interest management, review and resource readiness.</w:t>
      </w:r>
    </w:p>
    <w:p w:rsidRPr="000B3C26" w:rsidR="006D541B" w:rsidP="003143A6" w:rsidRDefault="008E0977" w14:paraId="75099610" w14:textId="77777777">
      <w:pPr>
        <w:rPr>
          <w:b/>
          <w:bCs/>
        </w:rPr>
      </w:pPr>
      <w:r w:rsidRPr="000B3C26">
        <w:rPr>
          <w:b/>
          <w:bCs/>
        </w:rPr>
        <w:t>VCSE Anchor contribution to INT success measures</w:t>
      </w:r>
    </w:p>
    <w:p w:rsidRPr="000B3C26" w:rsidR="001C55DB" w:rsidP="003143A6" w:rsidRDefault="001C55DB" w14:paraId="378EDDAC" w14:textId="6A9C702E">
      <w:pPr>
        <w:rPr>
          <w:b/>
          <w:bCs/>
        </w:rPr>
      </w:pPr>
      <w:r w:rsidRPr="000B3C26">
        <w:t>The table below summarises where VCSE Anchors could contribute to INT success measures. These contributions should be understood as part of a wider system effort, with attribution kept proportionate and realistic</w:t>
      </w:r>
    </w:p>
    <w:tbl>
      <w:tblPr>
        <w:tblW w:w="0" w:type="auto"/>
        <w:jc w:val="center"/>
        <w:tblLook w:val="04A0" w:firstRow="1" w:lastRow="0" w:firstColumn="1" w:lastColumn="0" w:noHBand="0" w:noVBand="1"/>
      </w:tblPr>
      <w:tblGrid>
        <w:gridCol w:w="2689"/>
        <w:gridCol w:w="6327"/>
      </w:tblGrid>
      <w:tr w:rsidRPr="00221AD1" w:rsidR="00894E79" w:rsidTr="0027187E" w14:paraId="7C33B7B0" w14:textId="77777777">
        <w:trPr>
          <w:jc w:val="center"/>
        </w:trPr>
        <w:tc>
          <w:tcPr>
            <w:tcW w:w="2689"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0B3C26" w:rsidR="00E4283D" w:rsidRDefault="00E4283D" w14:paraId="4325F4D3" w14:textId="3B99D5A0">
            <w:pPr>
              <w:rPr>
                <w:color w:val="FFFFFF" w:themeColor="background1"/>
                <w:lang w:eastAsia="en-GB"/>
              </w:rPr>
            </w:pPr>
            <w:r w:rsidRPr="000B3C26">
              <w:rPr>
                <w:color w:val="FFFFFF" w:themeColor="background1"/>
              </w:rPr>
              <w:t>.</w:t>
            </w:r>
          </w:p>
          <w:p w:rsidRPr="000B3C26" w:rsidR="00E4283D" w:rsidRDefault="00E4283D" w14:paraId="06509C88" w14:textId="77777777">
            <w:pPr>
              <w:spacing w:after="40"/>
              <w:rPr>
                <w:lang w:eastAsia="en-GB"/>
              </w:rPr>
            </w:pPr>
            <w:r w:rsidRPr="000B3C26">
              <w:rPr>
                <w:b/>
                <w:bCs/>
                <w:color w:val="FFFFFF"/>
              </w:rPr>
              <w:t>INT measure of success from slides</w:t>
            </w:r>
          </w:p>
          <w:p w:rsidRPr="000B3C26" w:rsidR="00894E79" w:rsidP="00E4283D" w:rsidRDefault="00894E79" w14:paraId="1CD8681D" w14:textId="3D564341"/>
        </w:tc>
        <w:tc>
          <w:tcPr>
            <w:tcW w:w="6327"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0B3C26" w:rsidR="00894E79" w:rsidP="009330DF" w:rsidRDefault="00894E79" w14:paraId="351EDDE7" w14:textId="77777777">
            <w:pPr>
              <w:spacing w:after="40"/>
            </w:pPr>
            <w:r w:rsidRPr="000B3C26">
              <w:rPr>
                <w:b/>
                <w:color w:val="FFFFFF"/>
              </w:rPr>
              <w:t>Potential VCSE Anchor contribution</w:t>
            </w:r>
          </w:p>
        </w:tc>
      </w:tr>
      <w:tr w:rsidRPr="00221AD1" w:rsidR="00894E79" w:rsidTr="001C55DB" w14:paraId="1A9E86BA"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671AD3CB" w14:textId="77777777">
            <w:pPr>
              <w:spacing w:after="40"/>
            </w:pPr>
            <w:r w:rsidRPr="000B3C26">
              <w:t>Reduction in ED attendances</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0B3C1281" w14:textId="77777777">
            <w:pPr>
              <w:spacing w:after="40"/>
            </w:pPr>
            <w:r w:rsidRPr="000B3C26">
              <w:t xml:space="preserve">Connect people earlier to community support, advice, social prescribing and preventative services. This may not be fully achievable with the current cohort focus.  </w:t>
            </w:r>
          </w:p>
        </w:tc>
      </w:tr>
      <w:tr w:rsidRPr="00221AD1" w:rsidR="00894E79" w:rsidTr="001C55DB" w14:paraId="701A7FDE"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4EA35952" w14:textId="77777777">
            <w:pPr>
              <w:spacing w:after="40"/>
            </w:pPr>
            <w:r w:rsidRPr="000B3C26">
              <w:t>Reduction in non-elective admissions</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6BA69121" w14:textId="77777777">
            <w:pPr>
              <w:spacing w:after="40"/>
            </w:pPr>
            <w:r w:rsidRPr="000B3C26">
              <w:t>Support proactive identification of community-based support options and escalation routes.</w:t>
            </w:r>
          </w:p>
        </w:tc>
      </w:tr>
      <w:tr w:rsidRPr="00221AD1" w:rsidR="00894E79" w:rsidTr="001C55DB" w14:paraId="6021F48F"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43A8629B" w14:textId="77777777">
            <w:pPr>
              <w:spacing w:after="40"/>
            </w:pPr>
            <w:r w:rsidRPr="000B3C26">
              <w:t>Decrease in average and excess lengths of stay</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2DDBB0FF" w14:textId="77777777">
            <w:pPr>
              <w:spacing w:after="40"/>
            </w:pPr>
            <w:r w:rsidRPr="000B3C26">
              <w:t>Connect discharge planning with community supports, carers, voluntary services and local assets.</w:t>
            </w:r>
          </w:p>
        </w:tc>
      </w:tr>
      <w:tr w:rsidRPr="00221AD1" w:rsidR="00894E79" w:rsidTr="001C55DB" w14:paraId="575EBDBE"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11B00E8F" w14:textId="77777777">
            <w:pPr>
              <w:spacing w:after="40"/>
            </w:pPr>
            <w:r w:rsidRPr="000B3C26">
              <w:t>Reduction in delayed discharges</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2A2B3A0D" w14:textId="77777777">
            <w:pPr>
              <w:spacing w:after="40"/>
            </w:pPr>
            <w:r w:rsidRPr="000B3C26">
              <w:t>Identify community and VCSE supports that can assist safe discharge and ongoing support.</w:t>
            </w:r>
          </w:p>
        </w:tc>
      </w:tr>
      <w:tr w:rsidRPr="00221AD1" w:rsidR="00894E79" w:rsidTr="001C55DB" w14:paraId="3506DB9A"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68A204A0" w14:textId="77777777">
            <w:pPr>
              <w:spacing w:after="40"/>
            </w:pPr>
            <w:r w:rsidRPr="000B3C26">
              <w:t>Reduction in readmission rates</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2A986FD4" w14:textId="77777777">
            <w:pPr>
              <w:spacing w:after="40"/>
            </w:pPr>
            <w:r w:rsidRPr="000B3C26">
              <w:t>Support follow-up, social connection, community navigation and practical support after discharge.</w:t>
            </w:r>
          </w:p>
        </w:tc>
      </w:tr>
      <w:tr w:rsidRPr="00221AD1" w:rsidR="00894E79" w:rsidTr="001C55DB" w14:paraId="143B00A9"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632376A3" w14:textId="77777777">
            <w:pPr>
              <w:spacing w:after="40"/>
            </w:pPr>
            <w:r w:rsidRPr="000B3C26">
              <w:t>Increased proportion of deaths in preferred place</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628B474B" w14:textId="77777777">
            <w:pPr>
              <w:spacing w:after="40"/>
            </w:pPr>
            <w:r w:rsidRPr="000B3C26">
              <w:t>Connect end-of-life care planning with palliative, carers, hospice, bereavement and community support organisations.</w:t>
            </w:r>
          </w:p>
        </w:tc>
      </w:tr>
      <w:tr w:rsidRPr="00221AD1" w:rsidR="00894E79" w:rsidTr="001C55DB" w14:paraId="5DB6A8C2"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369502E6" w14:textId="77777777">
            <w:pPr>
              <w:spacing w:after="40"/>
            </w:pPr>
            <w:r w:rsidRPr="000B3C26">
              <w:t>Increase in proactive care plans</w:t>
            </w:r>
          </w:p>
        </w:tc>
        <w:tc>
          <w:tcPr>
            <w:tcW w:w="6327"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0D9D118B" w14:textId="77777777">
            <w:pPr>
              <w:spacing w:after="40"/>
            </w:pPr>
            <w:r w:rsidRPr="000B3C26">
              <w:t>Support community-informed, person-centred planning by bringing insight from VCSE organisations and people with lived experience.</w:t>
            </w:r>
          </w:p>
        </w:tc>
      </w:tr>
      <w:tr w:rsidRPr="00221AD1" w:rsidR="00894E79" w:rsidTr="001C55DB" w14:paraId="23C53B6A" w14:textId="77777777">
        <w:trPr>
          <w:jc w:val="center"/>
        </w:trPr>
        <w:tc>
          <w:tcPr>
            <w:tcW w:w="2689" w:type="dxa"/>
            <w:tcBorders>
              <w:top w:val="single" w:color="D9E2F3" w:sz="4" w:space="0"/>
              <w:left w:val="single" w:color="D9E2F3" w:sz="4" w:space="0"/>
              <w:bottom w:val="single" w:color="D9E2F3" w:sz="4" w:space="0"/>
              <w:right w:val="single" w:color="D9E2F3" w:sz="4" w:space="0"/>
            </w:tcBorders>
            <w:vAlign w:val="center"/>
          </w:tcPr>
          <w:p w:rsidRPr="000B3C26" w:rsidR="00894E79" w:rsidP="009330DF" w:rsidRDefault="00894E79" w14:paraId="4374FB36" w14:textId="77777777">
            <w:pPr>
              <w:spacing w:after="40"/>
            </w:pPr>
            <w:r w:rsidRPr="000B3C26">
              <w:t>Improved patient and carer experience</w:t>
            </w:r>
          </w:p>
        </w:tc>
        <w:tc>
          <w:tcPr>
            <w:tcW w:w="6327" w:type="dxa"/>
            <w:tcBorders>
              <w:top w:val="nil"/>
              <w:left w:val="nil"/>
              <w:bottom w:val="single" w:color="D9E2F3" w:sz="8" w:space="0"/>
              <w:right w:val="single" w:color="D9E2F3" w:sz="8" w:space="0"/>
            </w:tcBorders>
            <w:tcMar>
              <w:top w:w="0" w:type="dxa"/>
              <w:left w:w="108" w:type="dxa"/>
              <w:bottom w:w="0" w:type="dxa"/>
              <w:right w:w="108" w:type="dxa"/>
            </w:tcMar>
            <w:vAlign w:val="center"/>
            <w:hideMark/>
          </w:tcPr>
          <w:p w:rsidRPr="000B3C26" w:rsidR="00894E79" w:rsidP="00E22BE1" w:rsidRDefault="00E22BE1" w14:paraId="79D60D32" w14:textId="5A5B1CE4">
            <w:pPr>
              <w:spacing w:after="40"/>
            </w:pPr>
            <w:r w:rsidRPr="000B3C26">
              <w:t>Ensure people, carers and community voices influence INT planning, delivery and evaluation.</w:t>
            </w:r>
          </w:p>
        </w:tc>
      </w:tr>
    </w:tbl>
    <w:p w:rsidR="001C55DB" w:rsidP="00611D4E" w:rsidRDefault="001C55DB" w14:paraId="36A190F7" w14:textId="77777777">
      <w:pPr>
        <w:rPr>
          <w:b/>
          <w:bCs/>
        </w:rPr>
      </w:pPr>
    </w:p>
    <w:p w:rsidR="00076BD1" w:rsidP="00611D4E" w:rsidRDefault="00EA36C0" w14:paraId="3956CB03" w14:textId="703B8671">
      <w:r w:rsidRPr="00EA36C0">
        <w:rPr>
          <w:b/>
          <w:bCs/>
        </w:rPr>
        <w:t xml:space="preserve">2. </w:t>
      </w:r>
      <w:r w:rsidRPr="009E68DD" w:rsidR="00372EE2">
        <w:rPr>
          <w:b/>
          <w:bCs/>
        </w:rPr>
        <w:t xml:space="preserve">Potential </w:t>
      </w:r>
      <w:r w:rsidRPr="00FE3C0A" w:rsidR="00372EE2">
        <w:rPr>
          <w:b/>
          <w:bCs/>
        </w:rPr>
        <w:t>models</w:t>
      </w:r>
      <w:r w:rsidR="00372EE2">
        <w:rPr>
          <w:b/>
          <w:bCs/>
        </w:rPr>
        <w:t xml:space="preserve"> for VCSE involvement</w:t>
      </w:r>
    </w:p>
    <w:tbl>
      <w:tblPr>
        <w:tblW w:w="0" w:type="auto"/>
        <w:jc w:val="center"/>
        <w:tblLook w:val="04A0" w:firstRow="1" w:lastRow="0" w:firstColumn="1" w:lastColumn="0" w:noHBand="0" w:noVBand="1"/>
      </w:tblPr>
      <w:tblGrid>
        <w:gridCol w:w="1977"/>
        <w:gridCol w:w="2249"/>
        <w:gridCol w:w="2079"/>
        <w:gridCol w:w="2711"/>
      </w:tblGrid>
      <w:tr w:rsidRPr="009E68DD" w:rsidR="006D541B" w:rsidTr="0027187E" w14:paraId="14C022BE" w14:textId="77777777">
        <w:trPr>
          <w:tblHeader/>
          <w:jc w:val="center"/>
        </w:trPr>
        <w:tc>
          <w:tcPr>
            <w:tcW w:w="1984"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6D541B" w:rsidP="009330DF" w:rsidRDefault="006D541B" w14:paraId="0B27C2A8" w14:textId="77777777">
            <w:pPr>
              <w:spacing w:after="40"/>
            </w:pPr>
            <w:r w:rsidRPr="009E68DD">
              <w:rPr>
                <w:b/>
                <w:color w:val="FFFFFF"/>
              </w:rPr>
              <w:t>Option</w:t>
            </w:r>
          </w:p>
        </w:tc>
        <w:tc>
          <w:tcPr>
            <w:tcW w:w="2551"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6D541B" w:rsidP="009330DF" w:rsidRDefault="006D541B" w14:paraId="0F634FA5" w14:textId="77777777">
            <w:pPr>
              <w:spacing w:after="40"/>
            </w:pPr>
            <w:r w:rsidRPr="009E68DD">
              <w:rPr>
                <w:b/>
                <w:color w:val="FFFFFF"/>
              </w:rPr>
              <w:t>Description</w:t>
            </w:r>
          </w:p>
        </w:tc>
        <w:tc>
          <w:tcPr>
            <w:tcW w:w="2268"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6D541B" w:rsidP="009330DF" w:rsidRDefault="006D541B" w14:paraId="6FF331A6" w14:textId="77777777">
            <w:pPr>
              <w:spacing w:after="40"/>
            </w:pPr>
            <w:r w:rsidRPr="009E68DD">
              <w:rPr>
                <w:b/>
                <w:color w:val="FFFFFF"/>
              </w:rPr>
              <w:t>Strengths</w:t>
            </w:r>
          </w:p>
        </w:tc>
        <w:tc>
          <w:tcPr>
            <w:tcW w:w="3281"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6D541B" w:rsidP="009330DF" w:rsidRDefault="006D541B" w14:paraId="5FC49CCC" w14:textId="77777777">
            <w:pPr>
              <w:spacing w:after="40"/>
            </w:pPr>
            <w:r w:rsidRPr="009E68DD">
              <w:rPr>
                <w:b/>
                <w:color w:val="FFFFFF"/>
              </w:rPr>
              <w:t>Risks / mitigations</w:t>
            </w:r>
          </w:p>
        </w:tc>
      </w:tr>
      <w:tr w:rsidRPr="009E68DD" w:rsidR="006D541B" w:rsidTr="00424B29" w14:paraId="5878377F" w14:textId="77777777">
        <w:trPr>
          <w:jc w:val="center"/>
        </w:trPr>
        <w:tc>
          <w:tcPr>
            <w:tcW w:w="1984"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2A018454" w14:textId="77777777">
            <w:pPr>
              <w:spacing w:after="40"/>
            </w:pPr>
            <w:r w:rsidRPr="009E68DD">
              <w:t>Single organisation model</w:t>
            </w:r>
          </w:p>
        </w:tc>
        <w:tc>
          <w:tcPr>
            <w:tcW w:w="255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173E51ED" w14:textId="77777777">
            <w:pPr>
              <w:spacing w:after="40"/>
            </w:pPr>
            <w:r w:rsidRPr="009E68DD">
              <w:t>One organisation is appointed as the Anchor in each Federation area.</w:t>
            </w:r>
          </w:p>
        </w:tc>
        <w:tc>
          <w:tcPr>
            <w:tcW w:w="2268"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4CD9A88B" w14:textId="77777777">
            <w:pPr>
              <w:spacing w:after="40"/>
            </w:pPr>
            <w:r w:rsidRPr="009E68DD">
              <w:t>Clear accountability and simple point of contact.</w:t>
            </w:r>
          </w:p>
        </w:tc>
        <w:tc>
          <w:tcPr>
            <w:tcW w:w="328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5523C638" w14:textId="77777777">
            <w:pPr>
              <w:spacing w:after="40"/>
            </w:pPr>
            <w:r w:rsidRPr="009E68DD">
              <w:t>Risk of concentrating influence; mitigate through clear criteria, feedback and review.</w:t>
            </w:r>
          </w:p>
        </w:tc>
      </w:tr>
      <w:tr w:rsidRPr="009E68DD" w:rsidR="006D541B" w:rsidTr="00424B29" w14:paraId="3055B743" w14:textId="77777777">
        <w:trPr>
          <w:jc w:val="center"/>
        </w:trPr>
        <w:tc>
          <w:tcPr>
            <w:tcW w:w="1984"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16F5E538" w14:textId="77777777">
            <w:pPr>
              <w:spacing w:after="40"/>
            </w:pPr>
            <w:r w:rsidRPr="009E68DD">
              <w:t>Consortium model</w:t>
            </w:r>
          </w:p>
        </w:tc>
        <w:tc>
          <w:tcPr>
            <w:tcW w:w="255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72676643" w14:textId="77777777">
            <w:pPr>
              <w:spacing w:after="40"/>
            </w:pPr>
            <w:r w:rsidRPr="009E68DD">
              <w:t>The lead organisation works with formal local partners.</w:t>
            </w:r>
          </w:p>
        </w:tc>
        <w:tc>
          <w:tcPr>
            <w:tcW w:w="2268"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03CB1F24" w14:textId="77777777">
            <w:pPr>
              <w:spacing w:after="40"/>
            </w:pPr>
            <w:r w:rsidRPr="009E68DD">
              <w:t>Broader representation and stronger expertise across diverse geographies.</w:t>
            </w:r>
          </w:p>
        </w:tc>
        <w:tc>
          <w:tcPr>
            <w:tcW w:w="328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227652DD" w14:textId="77777777">
            <w:pPr>
              <w:spacing w:after="40"/>
            </w:pPr>
            <w:r w:rsidRPr="009E68DD">
              <w:t>Requires clear partnership agreement and coordination resource.</w:t>
            </w:r>
          </w:p>
        </w:tc>
      </w:tr>
      <w:tr w:rsidRPr="009E68DD" w:rsidR="006D541B" w:rsidTr="00424B29" w14:paraId="27244733" w14:textId="77777777">
        <w:trPr>
          <w:jc w:val="center"/>
        </w:trPr>
        <w:tc>
          <w:tcPr>
            <w:tcW w:w="1984"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63644A0C" w14:textId="77777777">
            <w:pPr>
              <w:spacing w:after="40"/>
            </w:pPr>
            <w:r w:rsidRPr="009E68DD">
              <w:t>Networked Anchor model</w:t>
            </w:r>
          </w:p>
        </w:tc>
        <w:tc>
          <w:tcPr>
            <w:tcW w:w="255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19799DDB" w14:textId="77777777">
            <w:pPr>
              <w:spacing w:after="40"/>
            </w:pPr>
            <w:r w:rsidRPr="009E68DD">
              <w:t>The Anchor acts primarily as convenor of a wider local network.</w:t>
            </w:r>
          </w:p>
        </w:tc>
        <w:tc>
          <w:tcPr>
            <w:tcW w:w="2268"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69A998D2" w14:textId="77777777">
            <w:pPr>
              <w:spacing w:after="40"/>
            </w:pPr>
            <w:r w:rsidRPr="009E68DD">
              <w:t>Maximises inclusion and supports grassroots participation.</w:t>
            </w:r>
          </w:p>
        </w:tc>
        <w:tc>
          <w:tcPr>
            <w:tcW w:w="328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2A58AE52" w14:textId="77777777">
            <w:pPr>
              <w:spacing w:after="40"/>
            </w:pPr>
            <w:r w:rsidRPr="009E68DD">
              <w:t>Requires strong facilitation and dedicated coordination funding.</w:t>
            </w:r>
          </w:p>
        </w:tc>
      </w:tr>
      <w:tr w:rsidRPr="009E68DD" w:rsidR="006D541B" w:rsidTr="00424B29" w14:paraId="06049FD1" w14:textId="77777777">
        <w:trPr>
          <w:jc w:val="center"/>
        </w:trPr>
        <w:tc>
          <w:tcPr>
            <w:tcW w:w="1984"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35CC26FA" w14:textId="77777777">
            <w:pPr>
              <w:spacing w:after="40"/>
            </w:pPr>
            <w:r w:rsidRPr="009E68DD">
              <w:t>Hybrid place/population model</w:t>
            </w:r>
          </w:p>
        </w:tc>
        <w:tc>
          <w:tcPr>
            <w:tcW w:w="255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7400082E" w14:textId="77777777">
            <w:pPr>
              <w:spacing w:after="40"/>
            </w:pPr>
            <w:r w:rsidRPr="009E68DD">
              <w:t>A place-based Anchor is supplemented by specialist population expertise that steps up and down according to INT priorities.</w:t>
            </w:r>
          </w:p>
        </w:tc>
        <w:tc>
          <w:tcPr>
            <w:tcW w:w="2268"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4046B1DD" w14:textId="77777777">
            <w:pPr>
              <w:spacing w:after="40"/>
            </w:pPr>
            <w:r w:rsidRPr="009E68DD">
              <w:t>Best fit with draft guidance priority on older people, frailty and end-of-life care while retaining place-based legitimacy.</w:t>
            </w:r>
          </w:p>
        </w:tc>
        <w:tc>
          <w:tcPr>
            <w:tcW w:w="3281" w:type="dxa"/>
            <w:tcBorders>
              <w:top w:val="single" w:color="D9E2F3" w:sz="4" w:space="0"/>
              <w:left w:val="single" w:color="D9E2F3" w:sz="4" w:space="0"/>
              <w:bottom w:val="single" w:color="D9E2F3" w:sz="4" w:space="0"/>
              <w:right w:val="single" w:color="D9E2F3" w:sz="4" w:space="0"/>
            </w:tcBorders>
            <w:vAlign w:val="center"/>
          </w:tcPr>
          <w:p w:rsidRPr="009E68DD" w:rsidR="006D541B" w:rsidP="009330DF" w:rsidRDefault="006D541B" w14:paraId="73224D83" w14:textId="77777777">
            <w:pPr>
              <w:spacing w:after="40"/>
            </w:pPr>
            <w:r w:rsidRPr="009E68DD">
              <w:t>Requires a clear mechanism for co-option, funding and accountability.</w:t>
            </w:r>
          </w:p>
        </w:tc>
      </w:tr>
    </w:tbl>
    <w:p w:rsidR="001C55DB" w:rsidP="00F90F5D" w:rsidRDefault="001C55DB" w14:paraId="7F380BB5" w14:textId="77777777">
      <w:pPr>
        <w:rPr>
          <w:b/>
          <w:color w:val="1F4E79"/>
        </w:rPr>
      </w:pPr>
    </w:p>
    <w:p w:rsidRPr="000B3C26" w:rsidR="001C55DB" w:rsidP="00F90F5D" w:rsidRDefault="00372EE2" w14:paraId="341F6777" w14:textId="0727DE86">
      <w:r w:rsidRPr="009E68DD">
        <w:rPr>
          <w:b/>
          <w:color w:val="1F4E79"/>
        </w:rPr>
        <w:t xml:space="preserve">Emerging view: </w:t>
      </w:r>
      <w:r w:rsidRPr="009E68DD">
        <w:t xml:space="preserve">The draft </w:t>
      </w:r>
      <w:r w:rsidRPr="00EA5510" w:rsidR="00EA5510">
        <w:t xml:space="preserve">INT development </w:t>
      </w:r>
      <w:r w:rsidRPr="009E68DD">
        <w:t xml:space="preserve">guidance strengthens the case for a hybrid model. Anchors should be rooted in Federation geographies and connected to local community assets, </w:t>
      </w:r>
      <w:r w:rsidRPr="00EA5510" w:rsidR="00EA5510">
        <w:t>while also being able to access</w:t>
      </w:r>
      <w:r w:rsidRPr="009E68DD">
        <w:t xml:space="preserve"> specialist expertise in older people, frailty, carers, dementia, palliative and end-of-life care. A step-up / step-down model </w:t>
      </w:r>
      <w:r w:rsidRPr="00EA5510" w:rsidR="00EA5510">
        <w:t>would allow</w:t>
      </w:r>
      <w:r w:rsidRPr="009E68DD">
        <w:t xml:space="preserve"> place-based leadership to be supplemented by specialist VCSE input as INT priorities change.</w:t>
      </w:r>
    </w:p>
    <w:p w:rsidR="00076BD1" w:rsidP="00CF5366" w:rsidRDefault="00444083" w14:paraId="35E76458" w14:textId="77777777">
      <w:r w:rsidRPr="00444083">
        <w:rPr>
          <w:b/>
          <w:bCs/>
        </w:rPr>
        <w:t>3. Connections with local networks, specialist expertise and wider sector voice</w:t>
      </w:r>
    </w:p>
    <w:p w:rsidR="008E5552" w:rsidP="00372EE2" w:rsidRDefault="008E5552" w14:paraId="7D8F1732" w14:textId="77777777">
      <w:pPr>
        <w:pStyle w:val="ListParagraph"/>
        <w:numPr>
          <w:ilvl w:val="0"/>
          <w:numId w:val="7"/>
        </w:numPr>
        <w:rPr>
          <w:rFonts w:asciiTheme="minorHAnsi" w:hAnsiTheme="minorHAnsi" w:cstheme="minorBidi"/>
        </w:rPr>
      </w:pPr>
      <w:r>
        <w:t>Anchors can strengthen the neighbourhood model by engaging communities, identifying local assets, connecting people to preventative support, gathering community intelligence and supporting co-production. This role should help INTs translate community insight into practical planning and delivery decisions.</w:t>
      </w:r>
    </w:p>
    <w:p w:rsidRPr="00626682" w:rsidR="006D541B" w:rsidP="00372EE2" w:rsidRDefault="00372EE2" w14:paraId="41448B16" w14:textId="77777777">
      <w:pPr>
        <w:pStyle w:val="ListParagraph"/>
        <w:numPr>
          <w:ilvl w:val="0"/>
          <w:numId w:val="7"/>
        </w:numPr>
        <w:rPr>
          <w:b/>
          <w:bCs/>
          <w:sz w:val="22"/>
        </w:rPr>
      </w:pPr>
      <w:r w:rsidRPr="00626682">
        <w:t>Given the initial INT focus on people living with frailty and those requiring end-of-life care, the VCSE sector can add value through community navigation, carers’ support, community transport, befriending, palliative care partnerships, Healthy Living Centres and wider community-based networks. These supports can improve quality of life, strengthen community resilience and reduce reliance on hospital-based care. However, the current narrow population focus may limit opportunities to deliver the full range of proposed outcomes, particularly where greater impact depends on earlier intervention and prevention across the wider neighbourhood population.</w:t>
      </w:r>
    </w:p>
    <w:p w:rsidRPr="00BB22D4" w:rsidR="006D541B" w:rsidP="00372EE2" w:rsidRDefault="00372EE2" w14:paraId="72850394" w14:textId="77777777">
      <w:pPr>
        <w:pStyle w:val="ListParagraph"/>
        <w:numPr>
          <w:ilvl w:val="0"/>
          <w:numId w:val="7"/>
        </w:numPr>
        <w:rPr>
          <w:b/>
          <w:bCs/>
          <w:sz w:val="22"/>
        </w:rPr>
      </w:pPr>
      <w:r w:rsidRPr="00BB22D4">
        <w:t>Anchor Organisations should not be judged solely on attendance at INT meetings. Their value should be assessed through their ability to strengthen engagement, mobilise community resources, bring lived experience into decision-making and contribute to achieving the neighbourhood outcomes that matter most to people, families and communities.</w:t>
      </w:r>
    </w:p>
    <w:p w:rsidR="00076BD1" w:rsidP="00BA324C" w:rsidRDefault="005B6F76" w14:paraId="23A4E10C" w14:textId="77777777">
      <w:r w:rsidRPr="005B6F76">
        <w:rPr>
          <w:b/>
          <w:bCs/>
        </w:rPr>
        <w:t xml:space="preserve">4. </w:t>
      </w:r>
      <w:r w:rsidRPr="009E68DD" w:rsidR="00372EE2">
        <w:rPr>
          <w:b/>
          <w:bCs/>
        </w:rPr>
        <w:t xml:space="preserve">Support, capacity and funding required </w:t>
      </w:r>
      <w:r w:rsidR="00372EE2">
        <w:rPr>
          <w:b/>
          <w:bCs/>
        </w:rPr>
        <w:t xml:space="preserve">for Anchor </w:t>
      </w:r>
      <w:r w:rsidRPr="004F6501" w:rsidR="00372EE2">
        <w:rPr>
          <w:b/>
          <w:bCs/>
        </w:rPr>
        <w:t>Organisations</w:t>
      </w:r>
    </w:p>
    <w:p w:rsidR="005B6F76" w:rsidRDefault="005B6F76" w14:paraId="52368BD2" w14:textId="77777777">
      <w:pPr>
        <w:rPr>
          <w:lang w:eastAsia="en-GB"/>
        </w:rPr>
      </w:pPr>
      <w:r>
        <w:rPr>
          <w:b/>
          <w:bCs/>
          <w:color w:val="1F4E79"/>
        </w:rPr>
        <w:t xml:space="preserve">Key message: </w:t>
      </w:r>
      <w:r>
        <w:t>The 0.2 FTE calculation should be treated as the minimum cost of formal INT participation, not the full cost of an effective Anchor function.</w:t>
      </w:r>
    </w:p>
    <w:p w:rsidRPr="00E153BC" w:rsidR="00444083" w:rsidP="00BB483E" w:rsidRDefault="00372EE2" w14:paraId="47D3DCA7" w14:textId="1B6A10D4">
      <w:r w:rsidRPr="00E153BC">
        <w:t>The</w:t>
      </w:r>
      <w:r w:rsidRPr="00E153BC" w:rsidR="00E83304">
        <w:t>s</w:t>
      </w:r>
      <w:r w:rsidRPr="00E153BC" w:rsidR="00E153BC">
        <w:t>e</w:t>
      </w:r>
      <w:r w:rsidR="00E153BC">
        <w:t xml:space="preserve"> are intended to be</w:t>
      </w:r>
      <w:r w:rsidRPr="00E153BC" w:rsidR="00E153BC">
        <w:t xml:space="preserve"> </w:t>
      </w:r>
      <w:r w:rsidRPr="00E153BC" w:rsidR="00667A13">
        <w:t xml:space="preserve">indicative costings </w:t>
      </w:r>
      <w:r w:rsidR="00E153BC">
        <w:t xml:space="preserve">to inform discussion and </w:t>
      </w:r>
      <w:r w:rsidRPr="00E153BC" w:rsidR="00667A13">
        <w:t xml:space="preserve">are </w:t>
      </w:r>
      <w:r w:rsidRPr="00E153BC">
        <w:t xml:space="preserve">based on one full day </w:t>
      </w:r>
      <w:r w:rsidRPr="00E153BC" w:rsidR="00667A13">
        <w:t>per week,</w:t>
      </w:r>
      <w:r w:rsidRPr="00E153BC">
        <w:t xml:space="preserve"> modelled as 7.5 hours </w:t>
      </w:r>
      <w:r w:rsidRPr="00E153BC" w:rsidR="00667A13">
        <w:t xml:space="preserve">or </w:t>
      </w:r>
      <w:r w:rsidRPr="00E153BC">
        <w:t xml:space="preserve">0.2 FTE </w:t>
      </w:r>
      <w:r w:rsidRPr="00E153BC" w:rsidR="00667A13">
        <w:t>of</w:t>
      </w:r>
      <w:r w:rsidRPr="00E153BC">
        <w:t xml:space="preserve"> a 37.5-hour working week.</w:t>
      </w:r>
      <w:r w:rsidRPr="00E153BC" w:rsidR="00667A13">
        <w:t xml:space="preserve"> They are </w:t>
      </w:r>
      <w:r w:rsidR="00E153BC">
        <w:t xml:space="preserve">provided to </w:t>
      </w:r>
      <w:r w:rsidR="00DF40FF">
        <w:t xml:space="preserve">facilitate </w:t>
      </w:r>
      <w:r w:rsidRPr="00E153BC" w:rsidR="00667A13">
        <w:t>discussion and should be aligned with available INT operating budget</w:t>
      </w:r>
      <w:r w:rsidR="00DF40FF">
        <w:t xml:space="preserve">.  </w:t>
      </w:r>
    </w:p>
    <w:tbl>
      <w:tblPr>
        <w:tblW w:w="0" w:type="auto"/>
        <w:jc w:val="center"/>
        <w:tblLook w:val="04A0" w:firstRow="1" w:lastRow="0" w:firstColumn="1" w:lastColumn="0" w:noHBand="0" w:noVBand="1"/>
      </w:tblPr>
      <w:tblGrid>
        <w:gridCol w:w="897"/>
        <w:gridCol w:w="1310"/>
        <w:gridCol w:w="715"/>
        <w:gridCol w:w="1385"/>
        <w:gridCol w:w="1218"/>
        <w:gridCol w:w="566"/>
        <w:gridCol w:w="760"/>
        <w:gridCol w:w="2165"/>
      </w:tblGrid>
      <w:tr w:rsidRPr="009E68DD" w:rsidR="00C25143" w:rsidTr="0027187E" w14:paraId="79162F87" w14:textId="77777777">
        <w:trPr>
          <w:tblHeader/>
          <w:jc w:val="center"/>
        </w:trPr>
        <w:tc>
          <w:tcPr>
            <w:tcW w:w="2207" w:type="dxa"/>
            <w:gridSpan w:val="2"/>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27187E" w:rsidR="00C25143" w:rsidP="009330DF" w:rsidRDefault="00C25143" w14:paraId="674A68A9" w14:textId="77777777">
            <w:pPr>
              <w:spacing w:after="40"/>
              <w:rPr>
                <w:b/>
                <w:bCs/>
                <w:color w:val="FFFFFF" w:themeColor="background1"/>
              </w:rPr>
            </w:pPr>
            <w:r w:rsidRPr="0027187E">
              <w:rPr>
                <w:b/>
                <w:bCs/>
                <w:color w:val="FFFFFF" w:themeColor="background1"/>
              </w:rPr>
              <w:t>Cost assumption</w:t>
            </w:r>
          </w:p>
        </w:tc>
        <w:tc>
          <w:tcPr>
            <w:tcW w:w="2100" w:type="dxa"/>
            <w:gridSpan w:val="2"/>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27187E" w:rsidR="00C25143" w:rsidP="009330DF" w:rsidRDefault="00C25143" w14:paraId="2C9E039F" w14:textId="77777777">
            <w:pPr>
              <w:spacing w:after="40"/>
              <w:rPr>
                <w:b/>
                <w:bCs/>
                <w:color w:val="FFFFFF" w:themeColor="background1"/>
              </w:rPr>
            </w:pPr>
            <w:r w:rsidRPr="0027187E">
              <w:rPr>
                <w:b/>
                <w:bCs/>
                <w:color w:val="FFFFFF" w:themeColor="background1"/>
              </w:rPr>
              <w:t>Calculation</w:t>
            </w:r>
          </w:p>
        </w:tc>
        <w:tc>
          <w:tcPr>
            <w:tcW w:w="1218"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27187E" w:rsidR="00C25143" w:rsidP="00805B70" w:rsidRDefault="00372EE2" w14:paraId="44FDB7A3" w14:textId="5414EA52">
            <w:pPr>
              <w:spacing w:after="40"/>
              <w:rPr>
                <w:b/>
                <w:bCs/>
                <w:color w:val="FFFFFF" w:themeColor="background1"/>
                <w:sz w:val="22"/>
              </w:rPr>
            </w:pPr>
            <w:r w:rsidRPr="0027187E">
              <w:rPr>
                <w:b/>
                <w:bCs/>
                <w:color w:val="FFFFFF" w:themeColor="background1"/>
              </w:rPr>
              <w:t xml:space="preserve">Low </w:t>
            </w:r>
            <w:r w:rsidRPr="0027187E" w:rsidR="00805B70">
              <w:rPr>
                <w:b/>
                <w:bCs/>
                <w:color w:val="FFFFFF" w:themeColor="background1"/>
              </w:rPr>
              <w:t>estimate</w:t>
            </w:r>
          </w:p>
        </w:tc>
        <w:tc>
          <w:tcPr>
            <w:tcW w:w="1326" w:type="dxa"/>
            <w:gridSpan w:val="2"/>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27187E" w:rsidR="00C25143" w:rsidP="009330DF" w:rsidRDefault="00C25143" w14:paraId="547ACFFD" w14:textId="77777777">
            <w:pPr>
              <w:spacing w:after="40"/>
              <w:rPr>
                <w:b/>
                <w:bCs/>
                <w:color w:val="FFFFFF" w:themeColor="background1"/>
              </w:rPr>
            </w:pPr>
            <w:r w:rsidRPr="0027187E">
              <w:rPr>
                <w:b/>
                <w:bCs/>
                <w:color w:val="FFFFFF" w:themeColor="background1"/>
              </w:rPr>
              <w:t>High estimate</w:t>
            </w:r>
          </w:p>
        </w:tc>
        <w:tc>
          <w:tcPr>
            <w:tcW w:w="2165"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27187E" w:rsidR="00C25143" w:rsidP="009330DF" w:rsidRDefault="00C25143" w14:paraId="068A0CB5" w14:textId="77777777">
            <w:pPr>
              <w:spacing w:after="40"/>
              <w:rPr>
                <w:b/>
                <w:bCs/>
                <w:color w:val="FFFFFF" w:themeColor="background1"/>
              </w:rPr>
            </w:pPr>
            <w:r w:rsidRPr="0027187E">
              <w:rPr>
                <w:b/>
                <w:bCs/>
                <w:color w:val="FFFFFF" w:themeColor="background1"/>
              </w:rPr>
              <w:t>Comment</w:t>
            </w:r>
          </w:p>
        </w:tc>
      </w:tr>
      <w:tr w:rsidRPr="009E68DD" w:rsidR="00C25143" w:rsidTr="001C55DB" w14:paraId="0C99445E" w14:textId="77777777">
        <w:trPr>
          <w:jc w:val="center"/>
        </w:trPr>
        <w:tc>
          <w:tcPr>
            <w:tcW w:w="2207"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632A3B96" w14:textId="77777777">
            <w:pPr>
              <w:spacing w:after="40"/>
            </w:pPr>
            <w:r w:rsidRPr="009E68DD">
              <w:t>Senior VCSE leadership full employment cost</w:t>
            </w:r>
          </w:p>
        </w:tc>
        <w:tc>
          <w:tcPr>
            <w:tcW w:w="2100"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8C541D" w:rsidRDefault="00372EE2" w14:paraId="663CD8E9" w14:textId="77F05590">
            <w:pPr>
              <w:spacing w:after="40"/>
            </w:pPr>
            <w:r w:rsidRPr="009E68DD">
              <w:t xml:space="preserve">Salary </w:t>
            </w:r>
            <w:r w:rsidRPr="008C541D" w:rsidR="008C541D">
              <w:t>and employer</w:t>
            </w:r>
            <w:r w:rsidRPr="009E68DD">
              <w:t xml:space="preserve"> </w:t>
            </w:r>
            <w:r w:rsidRPr="009E68DD" w:rsidR="001C55DB">
              <w:t>on costs</w:t>
            </w:r>
          </w:p>
        </w:tc>
        <w:tc>
          <w:tcPr>
            <w:tcW w:w="1218"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75A404E" w14:textId="77777777">
            <w:pPr>
              <w:spacing w:after="40"/>
            </w:pPr>
            <w:r w:rsidRPr="009E68DD">
              <w:t>£70,000</w:t>
            </w:r>
          </w:p>
        </w:tc>
        <w:tc>
          <w:tcPr>
            <w:tcW w:w="1326"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6C61CC1F" w14:textId="77777777">
            <w:pPr>
              <w:spacing w:after="40"/>
            </w:pPr>
            <w:r w:rsidRPr="009E68DD">
              <w:t>£90,000</w:t>
            </w:r>
          </w:p>
        </w:tc>
        <w:tc>
          <w:tcPr>
            <w:tcW w:w="2165"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7EE0AEA7" w14:textId="77777777">
            <w:pPr>
              <w:spacing w:after="40"/>
            </w:pPr>
            <w:r w:rsidRPr="009E68DD">
              <w:t>Illustrative estimate for CEO / Director level capacity.</w:t>
            </w:r>
          </w:p>
        </w:tc>
      </w:tr>
      <w:tr w:rsidRPr="009E68DD" w:rsidR="00C25143" w:rsidTr="001C55DB" w14:paraId="1F341CC8" w14:textId="77777777">
        <w:trPr>
          <w:jc w:val="center"/>
        </w:trPr>
        <w:tc>
          <w:tcPr>
            <w:tcW w:w="2207"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6EE07BD3" w14:textId="77777777">
            <w:pPr>
              <w:spacing w:after="40"/>
            </w:pPr>
            <w:r w:rsidRPr="009E68DD">
              <w:t>One full day per week</w:t>
            </w:r>
          </w:p>
        </w:tc>
        <w:tc>
          <w:tcPr>
            <w:tcW w:w="2100"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4FB37E7" w14:textId="77777777">
            <w:pPr>
              <w:spacing w:after="40"/>
            </w:pPr>
            <w:r w:rsidRPr="009E68DD">
              <w:t>7.5 hours / 37.5 hours = 0.2 FTE</w:t>
            </w:r>
          </w:p>
        </w:tc>
        <w:tc>
          <w:tcPr>
            <w:tcW w:w="1218"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249C6246" w14:textId="77777777">
            <w:pPr>
              <w:spacing w:after="40"/>
            </w:pPr>
            <w:r w:rsidRPr="009E68DD">
              <w:t>£14,000</w:t>
            </w:r>
          </w:p>
        </w:tc>
        <w:tc>
          <w:tcPr>
            <w:tcW w:w="1326"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1E72EA9A" w14:textId="77777777">
            <w:pPr>
              <w:spacing w:after="40"/>
            </w:pPr>
            <w:r w:rsidRPr="009E68DD">
              <w:t>£18,000</w:t>
            </w:r>
          </w:p>
        </w:tc>
        <w:tc>
          <w:tcPr>
            <w:tcW w:w="2165" w:type="dxa"/>
            <w:tcBorders>
              <w:top w:val="single" w:color="D9E2F3" w:sz="4" w:space="0"/>
              <w:left w:val="single" w:color="D9E2F3" w:sz="4" w:space="0"/>
              <w:bottom w:val="single" w:color="D9E2F3" w:sz="4" w:space="0"/>
              <w:right w:val="single" w:color="D9E2F3" w:sz="4" w:space="0"/>
            </w:tcBorders>
            <w:vAlign w:val="center"/>
          </w:tcPr>
          <w:p w:rsidRPr="009E68DD" w:rsidR="00C25143" w:rsidP="00B650A8" w:rsidRDefault="00B650A8" w14:paraId="399EE140" w14:textId="52FB87ED">
            <w:pPr>
              <w:spacing w:after="40"/>
            </w:pPr>
            <w:r w:rsidRPr="00B650A8">
              <w:t>Covers direct</w:t>
            </w:r>
            <w:r w:rsidRPr="009E68DD" w:rsidR="00372EE2">
              <w:t xml:space="preserve"> participation capacity only.</w:t>
            </w:r>
          </w:p>
        </w:tc>
      </w:tr>
      <w:tr w:rsidRPr="009E68DD" w:rsidR="00C25143" w:rsidTr="001C55DB" w14:paraId="5397D4D0" w14:textId="77777777">
        <w:trPr>
          <w:jc w:val="center"/>
        </w:trPr>
        <w:tc>
          <w:tcPr>
            <w:tcW w:w="2207"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2D40F7E7" w14:textId="77777777">
            <w:pPr>
              <w:spacing w:after="40"/>
            </w:pPr>
            <w:r w:rsidRPr="009E68DD">
              <w:t>All 17 Federation Anchors</w:t>
            </w:r>
          </w:p>
        </w:tc>
        <w:tc>
          <w:tcPr>
            <w:tcW w:w="2100"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0732B31" w14:textId="77777777">
            <w:pPr>
              <w:spacing w:after="40"/>
            </w:pPr>
            <w:r w:rsidRPr="009E68DD">
              <w:t>17 x direct participation cost</w:t>
            </w:r>
          </w:p>
        </w:tc>
        <w:tc>
          <w:tcPr>
            <w:tcW w:w="1218"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D4CBB36" w14:textId="77777777">
            <w:pPr>
              <w:spacing w:after="40"/>
            </w:pPr>
            <w:r w:rsidRPr="009E68DD">
              <w:t>£238,000</w:t>
            </w:r>
          </w:p>
        </w:tc>
        <w:tc>
          <w:tcPr>
            <w:tcW w:w="1326"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13B6DA3D" w14:textId="77777777">
            <w:pPr>
              <w:spacing w:after="40"/>
            </w:pPr>
            <w:r w:rsidRPr="009E68DD">
              <w:t>£306,000</w:t>
            </w:r>
          </w:p>
        </w:tc>
        <w:tc>
          <w:tcPr>
            <w:tcW w:w="2165" w:type="dxa"/>
            <w:tcBorders>
              <w:top w:val="single" w:color="D9E2F3" w:sz="4" w:space="0"/>
              <w:left w:val="single" w:color="D9E2F3" w:sz="4" w:space="0"/>
              <w:bottom w:val="single" w:color="D9E2F3" w:sz="4" w:space="0"/>
              <w:right w:val="single" w:color="D9E2F3" w:sz="4" w:space="0"/>
            </w:tcBorders>
            <w:vAlign w:val="center"/>
          </w:tcPr>
          <w:p w:rsidRPr="009E68DD" w:rsidR="00C25143" w:rsidP="000224B1" w:rsidRDefault="000224B1" w14:paraId="68DF24E8" w14:textId="27665F3D">
            <w:pPr>
              <w:spacing w:after="40"/>
            </w:pPr>
            <w:r w:rsidRPr="000224B1">
              <w:t>Covers direct</w:t>
            </w:r>
            <w:r w:rsidRPr="009E68DD" w:rsidR="00372EE2">
              <w:t xml:space="preserve"> participation only across 17 INTs.</w:t>
            </w:r>
          </w:p>
        </w:tc>
      </w:tr>
      <w:tr w:rsidRPr="009E68DD" w:rsidR="00C25143" w:rsidTr="001C55DB" w14:paraId="2D702139" w14:textId="77777777">
        <w:trPr>
          <w:jc w:val="center"/>
        </w:trPr>
        <w:tc>
          <w:tcPr>
            <w:tcW w:w="2207"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02CC050F" w14:textId="77777777">
            <w:pPr>
              <w:spacing w:after="40"/>
            </w:pPr>
            <w:r w:rsidRPr="009E68DD">
              <w:t>Direct hourly equivalent</w:t>
            </w:r>
          </w:p>
        </w:tc>
        <w:tc>
          <w:tcPr>
            <w:tcW w:w="2100"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67EACD97" w14:textId="77777777">
            <w:pPr>
              <w:spacing w:after="40"/>
            </w:pPr>
            <w:r w:rsidRPr="009E68DD">
              <w:t>Full employment cost / 1,950 annual hours</w:t>
            </w:r>
          </w:p>
        </w:tc>
        <w:tc>
          <w:tcPr>
            <w:tcW w:w="1218"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5DDFC17" w14:textId="77777777">
            <w:pPr>
              <w:spacing w:after="40"/>
            </w:pPr>
            <w:r w:rsidRPr="009E68DD">
              <w:t>£35.90</w:t>
            </w:r>
          </w:p>
        </w:tc>
        <w:tc>
          <w:tcPr>
            <w:tcW w:w="1326"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201CCDDB" w14:textId="77777777">
            <w:pPr>
              <w:spacing w:after="40"/>
            </w:pPr>
            <w:r w:rsidRPr="009E68DD">
              <w:t>£46.15</w:t>
            </w:r>
          </w:p>
        </w:tc>
        <w:tc>
          <w:tcPr>
            <w:tcW w:w="2165"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0C1219B0" w14:textId="77777777">
            <w:pPr>
              <w:spacing w:after="40"/>
            </w:pPr>
            <w:r w:rsidRPr="009E68DD">
              <w:t>Based on 37.5 hours per week x 52 weeks.</w:t>
            </w:r>
          </w:p>
        </w:tc>
      </w:tr>
      <w:tr w:rsidRPr="009E68DD" w:rsidR="00C25143" w:rsidTr="001C55DB" w14:paraId="0BE70BC6" w14:textId="77777777">
        <w:trPr>
          <w:jc w:val="center"/>
        </w:trPr>
        <w:tc>
          <w:tcPr>
            <w:tcW w:w="2207"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1B74898" w14:textId="77777777">
            <w:pPr>
              <w:spacing w:after="40"/>
            </w:pPr>
            <w:r w:rsidRPr="009E68DD">
              <w:t>One 7.5-hour day equivalent</w:t>
            </w:r>
          </w:p>
        </w:tc>
        <w:tc>
          <w:tcPr>
            <w:tcW w:w="2100"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2F68D499" w14:textId="77777777">
            <w:pPr>
              <w:spacing w:after="40"/>
            </w:pPr>
            <w:r w:rsidRPr="009E68DD">
              <w:t>Hourly equivalent x 7.5 hours</w:t>
            </w:r>
          </w:p>
        </w:tc>
        <w:tc>
          <w:tcPr>
            <w:tcW w:w="1218"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63B0C234" w14:textId="77777777">
            <w:pPr>
              <w:spacing w:after="40"/>
            </w:pPr>
            <w:r w:rsidRPr="009E68DD">
              <w:t>£269</w:t>
            </w:r>
          </w:p>
        </w:tc>
        <w:tc>
          <w:tcPr>
            <w:tcW w:w="1326"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0F172FD1" w14:textId="77777777">
            <w:pPr>
              <w:spacing w:after="40"/>
            </w:pPr>
            <w:r w:rsidRPr="009E68DD">
              <w:t>£346</w:t>
            </w:r>
          </w:p>
        </w:tc>
        <w:tc>
          <w:tcPr>
            <w:tcW w:w="2165"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0792201F" w14:textId="77777777">
            <w:pPr>
              <w:spacing w:after="40"/>
            </w:pPr>
            <w:r w:rsidRPr="009E68DD">
              <w:t>Equivalent direct cost per weekly full day.</w:t>
            </w:r>
          </w:p>
        </w:tc>
      </w:tr>
      <w:tr w:rsidRPr="009E68DD" w:rsidR="00C25143" w:rsidTr="0027187E" w14:paraId="39DE6385" w14:textId="77777777">
        <w:trPr>
          <w:jc w:val="center"/>
        </w:trPr>
        <w:tc>
          <w:tcPr>
            <w:tcW w:w="897" w:type="dxa"/>
            <w:tcBorders>
              <w:top w:val="single" w:color="D9E2F3" w:sz="4" w:space="0"/>
              <w:left w:val="single" w:color="D9E2F3" w:sz="4" w:space="0"/>
              <w:bottom w:val="single" w:color="D9E2F3" w:sz="4" w:space="0"/>
              <w:right w:val="single" w:color="D9E2F3" w:sz="4" w:space="0"/>
            </w:tcBorders>
            <w:shd w:val="clear" w:color="auto" w:fill="215E99" w:themeFill="text2" w:themeFillTint="BF"/>
          </w:tcPr>
          <w:p w:rsidRPr="009E68DD" w:rsidR="00C25143" w:rsidP="009330DF" w:rsidRDefault="00C25143" w14:paraId="7365B6CB" w14:textId="77777777">
            <w:pPr>
              <w:spacing w:after="40"/>
              <w:rPr>
                <w:b/>
                <w:bCs/>
                <w:color w:val="FFFFFF" w:themeColor="background1"/>
              </w:rPr>
            </w:pPr>
          </w:p>
        </w:tc>
        <w:tc>
          <w:tcPr>
            <w:tcW w:w="2025" w:type="dxa"/>
            <w:gridSpan w:val="2"/>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C25143" w:rsidP="009330DF" w:rsidRDefault="00C25143" w14:paraId="20227139" w14:textId="77777777">
            <w:pPr>
              <w:spacing w:after="40"/>
              <w:rPr>
                <w:b/>
                <w:bCs/>
                <w:color w:val="FFFFFF" w:themeColor="background1"/>
              </w:rPr>
            </w:pPr>
            <w:r w:rsidRPr="009E68DD">
              <w:rPr>
                <w:b/>
                <w:bCs/>
                <w:color w:val="FFFFFF" w:themeColor="background1"/>
              </w:rPr>
              <w:t>Funding model</w:t>
            </w:r>
          </w:p>
        </w:tc>
        <w:tc>
          <w:tcPr>
            <w:tcW w:w="1385"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C25143" w:rsidP="009330DF" w:rsidRDefault="00C25143" w14:paraId="645E6BB3" w14:textId="77777777">
            <w:pPr>
              <w:spacing w:after="40"/>
              <w:rPr>
                <w:b/>
                <w:bCs/>
                <w:color w:val="FFFFFF" w:themeColor="background1"/>
              </w:rPr>
            </w:pPr>
            <w:r w:rsidRPr="009E68DD">
              <w:rPr>
                <w:b/>
                <w:bCs/>
                <w:color w:val="FFFFFF" w:themeColor="background1"/>
              </w:rPr>
              <w:t>Per Anchor / year</w:t>
            </w:r>
          </w:p>
        </w:tc>
        <w:tc>
          <w:tcPr>
            <w:tcW w:w="1784" w:type="dxa"/>
            <w:gridSpan w:val="2"/>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C25143" w:rsidP="00417F09" w:rsidRDefault="00372EE2" w14:paraId="1556A39F" w14:textId="07BA9EFB">
            <w:pPr>
              <w:spacing w:after="40"/>
              <w:rPr>
                <w:b/>
                <w:bCs/>
                <w:color w:val="FFFFFF" w:themeColor="background1"/>
              </w:rPr>
            </w:pPr>
            <w:r w:rsidRPr="009E68DD">
              <w:rPr>
                <w:b/>
                <w:bCs/>
                <w:color w:val="FFFFFF" w:themeColor="background1"/>
              </w:rPr>
              <w:t xml:space="preserve">All 17 </w:t>
            </w:r>
            <w:r w:rsidRPr="00417F09" w:rsidR="00417F09">
              <w:rPr>
                <w:b/>
                <w:bCs/>
                <w:color w:val="FFFFFF"/>
              </w:rPr>
              <w:t>Federations</w:t>
            </w:r>
            <w:r w:rsidRPr="009E68DD">
              <w:rPr>
                <w:b/>
                <w:bCs/>
                <w:color w:val="FFFFFF" w:themeColor="background1"/>
              </w:rPr>
              <w:t xml:space="preserve"> / year</w:t>
            </w:r>
          </w:p>
        </w:tc>
        <w:tc>
          <w:tcPr>
            <w:tcW w:w="2925" w:type="dxa"/>
            <w:gridSpan w:val="2"/>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C25143" w:rsidP="009330DF" w:rsidRDefault="00C25143" w14:paraId="37CFCC53" w14:textId="77777777">
            <w:pPr>
              <w:spacing w:after="40"/>
              <w:rPr>
                <w:b/>
                <w:bCs/>
                <w:color w:val="FFFFFF" w:themeColor="background1"/>
              </w:rPr>
            </w:pPr>
            <w:r w:rsidRPr="009E68DD">
              <w:rPr>
                <w:b/>
                <w:bCs/>
                <w:color w:val="FFFFFF" w:themeColor="background1"/>
              </w:rPr>
              <w:t>What it covers</w:t>
            </w:r>
          </w:p>
        </w:tc>
      </w:tr>
      <w:tr w:rsidRPr="009E68DD" w:rsidR="000E4E78" w:rsidTr="00424B29" w14:paraId="0CB298F5" w14:textId="77777777">
        <w:trPr>
          <w:trHeight w:val="3563"/>
          <w:jc w:val="center"/>
        </w:trPr>
        <w:tc>
          <w:tcPr>
            <w:tcW w:w="897" w:type="dxa"/>
            <w:tcBorders>
              <w:top w:val="single" w:color="D9E2F3" w:sz="4" w:space="0"/>
              <w:left w:val="single" w:color="D9E2F3" w:sz="4" w:space="0"/>
              <w:right w:val="single" w:color="D9E2F3" w:sz="4" w:space="0"/>
            </w:tcBorders>
          </w:tcPr>
          <w:p w:rsidRPr="009E68DD" w:rsidR="000E4E78" w:rsidP="009330DF" w:rsidRDefault="000E4E78" w14:paraId="239CB737" w14:textId="77777777">
            <w:pPr>
              <w:spacing w:after="40"/>
            </w:pPr>
            <w:r w:rsidRPr="009E68DD">
              <w:t>1</w:t>
            </w:r>
          </w:p>
        </w:tc>
        <w:tc>
          <w:tcPr>
            <w:tcW w:w="2025" w:type="dxa"/>
            <w:gridSpan w:val="2"/>
            <w:tcBorders>
              <w:top w:val="single" w:color="D9E2F3" w:sz="4" w:space="0"/>
              <w:left w:val="single" w:color="D9E2F3" w:sz="4" w:space="0"/>
              <w:right w:val="single" w:color="D9E2F3" w:sz="4" w:space="0"/>
            </w:tcBorders>
            <w:vAlign w:val="center"/>
          </w:tcPr>
          <w:p w:rsidR="000E4E78" w:rsidP="009330DF" w:rsidRDefault="000E4E78" w14:paraId="34252BA2" w14:textId="4E92399D">
            <w:pPr>
              <w:spacing w:after="40"/>
            </w:pPr>
            <w:r w:rsidRPr="009E68DD">
              <w:t>Core participation: 7.5 hours / 0.2 FTE</w:t>
            </w:r>
            <w:r>
              <w:t xml:space="preserve"> </w:t>
            </w:r>
          </w:p>
          <w:p w:rsidRPr="009E68DD" w:rsidR="000E4E78" w:rsidP="009330DF" w:rsidRDefault="000E4E78" w14:paraId="3F592BD8" w14:textId="5AF3DF8C">
            <w:pPr>
              <w:spacing w:after="40"/>
            </w:pPr>
            <w:r>
              <w:t>+</w:t>
            </w:r>
          </w:p>
          <w:p w:rsidRPr="009E68DD" w:rsidR="000E4E78" w:rsidP="009330DF" w:rsidRDefault="000E4E78" w14:paraId="4E2D80E9" w14:textId="1107A94A">
            <w:pPr>
              <w:spacing w:after="40"/>
            </w:pPr>
            <w:r w:rsidRPr="009E68DD">
              <w:t>Participation plus light coordination</w:t>
            </w:r>
          </w:p>
        </w:tc>
        <w:tc>
          <w:tcPr>
            <w:tcW w:w="1385" w:type="dxa"/>
            <w:tcBorders>
              <w:top w:val="single" w:color="D9E2F3" w:sz="4" w:space="0"/>
              <w:left w:val="single" w:color="D9E2F3" w:sz="4" w:space="0"/>
              <w:right w:val="single" w:color="D9E2F3" w:sz="4" w:space="0"/>
            </w:tcBorders>
            <w:vAlign w:val="center"/>
          </w:tcPr>
          <w:p w:rsidRPr="009E68DD" w:rsidR="000E4E78" w:rsidP="009330DF" w:rsidRDefault="000E4E78" w14:paraId="42B752DF" w14:textId="2989E001">
            <w:pPr>
              <w:spacing w:after="40"/>
            </w:pPr>
            <w:r w:rsidRPr="009E68DD">
              <w:t>£14,000</w:t>
            </w:r>
            <w:r w:rsidR="000706D2">
              <w:rPr>
                <w:rStyle w:val="FootnoteReference"/>
              </w:rPr>
              <w:footnoteReference w:id="1"/>
            </w:r>
            <w:r w:rsidRPr="009E68DD">
              <w:t>–£18,000</w:t>
            </w:r>
          </w:p>
        </w:tc>
        <w:tc>
          <w:tcPr>
            <w:tcW w:w="1784" w:type="dxa"/>
            <w:gridSpan w:val="2"/>
            <w:tcBorders>
              <w:top w:val="single" w:color="D9E2F3" w:sz="4" w:space="0"/>
              <w:left w:val="single" w:color="D9E2F3" w:sz="4" w:space="0"/>
              <w:right w:val="single" w:color="D9E2F3" w:sz="4" w:space="0"/>
            </w:tcBorders>
            <w:vAlign w:val="center"/>
          </w:tcPr>
          <w:p w:rsidRPr="009E68DD" w:rsidR="000E4E78" w:rsidP="009330DF" w:rsidRDefault="000E4E78" w14:paraId="0DF301E4" w14:textId="77777777">
            <w:pPr>
              <w:spacing w:after="40"/>
            </w:pPr>
            <w:r w:rsidRPr="009E68DD">
              <w:t>£238,000–£306,000</w:t>
            </w:r>
          </w:p>
        </w:tc>
        <w:tc>
          <w:tcPr>
            <w:tcW w:w="2925" w:type="dxa"/>
            <w:gridSpan w:val="2"/>
            <w:tcBorders>
              <w:top w:val="single" w:color="D9E2F3" w:sz="4" w:space="0"/>
              <w:left w:val="single" w:color="D9E2F3" w:sz="4" w:space="0"/>
              <w:right w:val="single" w:color="D9E2F3" w:sz="4" w:space="0"/>
            </w:tcBorders>
            <w:vAlign w:val="center"/>
          </w:tcPr>
          <w:p w:rsidRPr="009E68DD" w:rsidR="000E4E78" w:rsidP="00C25143" w:rsidRDefault="000E4E78" w14:paraId="2BE411D8" w14:textId="77777777">
            <w:pPr>
              <w:pStyle w:val="ListParagraph"/>
              <w:numPr>
                <w:ilvl w:val="0"/>
                <w:numId w:val="5"/>
              </w:numPr>
              <w:spacing w:after="40" w:line="276" w:lineRule="auto"/>
            </w:pPr>
            <w:r w:rsidRPr="009E68DD">
              <w:t>Formal INT attendance, preparation and reporting at senior VCSE level.</w:t>
            </w:r>
          </w:p>
          <w:p w:rsidRPr="009E68DD" w:rsidR="000E4E78" w:rsidP="00C25143" w:rsidRDefault="000E4E78" w14:paraId="3E9C493E" w14:textId="678D6229">
            <w:pPr>
              <w:pStyle w:val="ListParagraph"/>
              <w:numPr>
                <w:ilvl w:val="0"/>
                <w:numId w:val="4"/>
              </w:numPr>
              <w:spacing w:after="40" w:line="276" w:lineRule="auto"/>
            </w:pPr>
            <w:r w:rsidRPr="009E68DD">
              <w:t>Core participation plus brief/debrief with local VCSE partners and limited community intelligence.</w:t>
            </w:r>
          </w:p>
        </w:tc>
      </w:tr>
      <w:tr w:rsidRPr="009E68DD" w:rsidR="00C25143" w:rsidTr="001C55DB" w14:paraId="3E266F4A" w14:textId="77777777">
        <w:trPr>
          <w:jc w:val="center"/>
        </w:trPr>
        <w:tc>
          <w:tcPr>
            <w:tcW w:w="897" w:type="dxa"/>
            <w:tcBorders>
              <w:top w:val="single" w:color="D9E2F3" w:sz="4" w:space="0"/>
              <w:left w:val="single" w:color="D9E2F3" w:sz="4" w:space="0"/>
              <w:bottom w:val="single" w:color="D9E2F3" w:sz="4" w:space="0"/>
              <w:right w:val="single" w:color="D9E2F3" w:sz="4" w:space="0"/>
            </w:tcBorders>
          </w:tcPr>
          <w:p w:rsidRPr="009E68DD" w:rsidR="00C25143" w:rsidP="009330DF" w:rsidRDefault="00C25143" w14:paraId="63F2D6E0" w14:textId="4D2CB91F">
            <w:pPr>
              <w:spacing w:after="40"/>
            </w:pPr>
            <w:r w:rsidRPr="009E68DD">
              <w:t>2</w:t>
            </w:r>
          </w:p>
        </w:tc>
        <w:tc>
          <w:tcPr>
            <w:tcW w:w="2025"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762A2A2F" w14:textId="77777777">
            <w:pPr>
              <w:spacing w:after="40"/>
            </w:pPr>
            <w:r w:rsidRPr="009E68DD">
              <w:t>Enhanced Anchor function</w:t>
            </w:r>
          </w:p>
        </w:tc>
        <w:tc>
          <w:tcPr>
            <w:tcW w:w="1385"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AA152F9" w14:textId="77777777">
            <w:pPr>
              <w:spacing w:after="40"/>
            </w:pPr>
            <w:r w:rsidRPr="009E68DD">
              <w:t>£40,000–£60,000</w:t>
            </w:r>
          </w:p>
        </w:tc>
        <w:tc>
          <w:tcPr>
            <w:tcW w:w="1784"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29F8E4B6" w14:textId="77777777">
            <w:pPr>
              <w:spacing w:after="40"/>
            </w:pPr>
            <w:r w:rsidRPr="009E68DD">
              <w:t>£680,000–£1,020,000</w:t>
            </w:r>
          </w:p>
        </w:tc>
        <w:tc>
          <w:tcPr>
            <w:tcW w:w="2925"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C25143" w:rsidRDefault="00C25143" w14:paraId="4C6AF42E" w14:textId="68E47D4B">
            <w:pPr>
              <w:pStyle w:val="ListParagraph"/>
              <w:numPr>
                <w:ilvl w:val="0"/>
                <w:numId w:val="3"/>
              </w:numPr>
              <w:spacing w:after="40" w:line="276" w:lineRule="auto"/>
            </w:pPr>
            <w:r w:rsidRPr="009E68DD">
              <w:t>Participation plus convening, community intelligence,</w:t>
            </w:r>
            <w:r w:rsidR="00AC3B45">
              <w:t xml:space="preserve"> consultancy</w:t>
            </w:r>
            <w:r w:rsidR="000706D2">
              <w:t>,</w:t>
            </w:r>
            <w:r w:rsidRPr="009E68DD">
              <w:t xml:space="preserve"> communications, accountability and specialist input coordination.</w:t>
            </w:r>
          </w:p>
        </w:tc>
      </w:tr>
      <w:tr w:rsidRPr="009E68DD" w:rsidR="00C25143" w:rsidTr="001C55DB" w14:paraId="06013B62" w14:textId="77777777">
        <w:trPr>
          <w:jc w:val="center"/>
        </w:trPr>
        <w:tc>
          <w:tcPr>
            <w:tcW w:w="897" w:type="dxa"/>
            <w:tcBorders>
              <w:top w:val="single" w:color="D9E2F3" w:sz="4" w:space="0"/>
              <w:left w:val="single" w:color="D9E2F3" w:sz="4" w:space="0"/>
              <w:bottom w:val="single" w:color="D9E2F3" w:sz="4" w:space="0"/>
              <w:right w:val="single" w:color="D9E2F3" w:sz="4" w:space="0"/>
            </w:tcBorders>
          </w:tcPr>
          <w:p w:rsidRPr="009E68DD" w:rsidR="00C25143" w:rsidP="009330DF" w:rsidRDefault="001C55DB" w14:paraId="638836E8" w14:textId="05823E49">
            <w:pPr>
              <w:spacing w:after="40"/>
            </w:pPr>
            <w:r>
              <w:t>3</w:t>
            </w:r>
          </w:p>
        </w:tc>
        <w:tc>
          <w:tcPr>
            <w:tcW w:w="2025"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7BAF57FE" w14:textId="77777777">
            <w:pPr>
              <w:spacing w:after="40"/>
            </w:pPr>
            <w:r w:rsidRPr="009E68DD">
              <w:t>Strategic local infrastructure model</w:t>
            </w:r>
            <w:r w:rsidRPr="009E68DD">
              <w:rPr>
                <w:b/>
                <w:bCs/>
              </w:rPr>
              <w:t xml:space="preserve"> + </w:t>
            </w:r>
            <w:r w:rsidRPr="009E68DD">
              <w:t>Transformation-funded VCSE development programme</w:t>
            </w:r>
          </w:p>
        </w:tc>
        <w:tc>
          <w:tcPr>
            <w:tcW w:w="1385"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10CF92D4" w14:textId="77777777">
            <w:pPr>
              <w:spacing w:after="40"/>
            </w:pPr>
            <w:r w:rsidRPr="009E68DD">
              <w:t xml:space="preserve">To be developed </w:t>
            </w:r>
          </w:p>
        </w:tc>
        <w:tc>
          <w:tcPr>
            <w:tcW w:w="1784"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064083B2" w14:textId="77777777">
            <w:pPr>
              <w:spacing w:after="40"/>
            </w:pPr>
            <w:r w:rsidRPr="009E68DD">
              <w:t>To be developed</w:t>
            </w:r>
          </w:p>
        </w:tc>
        <w:tc>
          <w:tcPr>
            <w:tcW w:w="2925" w:type="dxa"/>
            <w:gridSpan w:val="2"/>
            <w:tcBorders>
              <w:top w:val="single" w:color="D9E2F3" w:sz="4" w:space="0"/>
              <w:left w:val="single" w:color="D9E2F3" w:sz="4" w:space="0"/>
              <w:bottom w:val="single" w:color="D9E2F3" w:sz="4" w:space="0"/>
              <w:right w:val="single" w:color="D9E2F3" w:sz="4" w:space="0"/>
            </w:tcBorders>
            <w:vAlign w:val="center"/>
          </w:tcPr>
          <w:p w:rsidRPr="009E68DD" w:rsidR="00C25143" w:rsidP="00C25143" w:rsidRDefault="00C25143" w14:paraId="7408EB60" w14:textId="77777777">
            <w:pPr>
              <w:pStyle w:val="ListParagraph"/>
              <w:numPr>
                <w:ilvl w:val="0"/>
                <w:numId w:val="2"/>
              </w:numPr>
              <w:spacing w:after="40" w:line="276" w:lineRule="auto"/>
            </w:pPr>
            <w:r w:rsidRPr="009E68DD">
              <w:t>Full local infrastructure function with staffing, capacity building, engagement programme and evaluation.</w:t>
            </w:r>
          </w:p>
          <w:p w:rsidRPr="009E68DD" w:rsidR="00C25143" w:rsidP="00C25143" w:rsidRDefault="00C25143" w14:paraId="153AA60F" w14:textId="77777777">
            <w:pPr>
              <w:pStyle w:val="ListParagraph"/>
              <w:numPr>
                <w:ilvl w:val="0"/>
                <w:numId w:val="2"/>
              </w:numPr>
              <w:spacing w:after="40" w:line="276" w:lineRule="auto"/>
            </w:pPr>
            <w:r w:rsidRPr="009E68DD">
              <w:t>Uses transformation investment to build Anchor readiness, VCSE capacity, community intelligence, engagement infrastructure, specialist input and evaluation capability alongside participation funding.</w:t>
            </w:r>
          </w:p>
        </w:tc>
      </w:tr>
      <w:tr w:rsidRPr="009E68DD" w:rsidR="00C25143" w:rsidTr="0027187E" w14:paraId="1A34794D" w14:textId="77777777">
        <w:trPr>
          <w:jc w:val="center"/>
        </w:trPr>
        <w:tc>
          <w:tcPr>
            <w:tcW w:w="897" w:type="dxa"/>
            <w:tcBorders>
              <w:top w:val="single" w:color="5B9BD5" w:sz="8" w:space="0"/>
              <w:left w:val="single" w:color="5B9BD5" w:sz="8" w:space="0"/>
              <w:bottom w:val="single" w:color="5B9BD5" w:sz="8" w:space="0"/>
              <w:right w:val="single" w:color="5B9BD5" w:sz="8" w:space="0"/>
            </w:tcBorders>
          </w:tcPr>
          <w:p w:rsidRPr="009E68DD" w:rsidR="00C25143" w:rsidP="009330DF" w:rsidRDefault="00C25143" w14:paraId="784FDF56" w14:textId="77777777">
            <w:pPr>
              <w:spacing w:after="0"/>
              <w:rPr>
                <w:b/>
                <w:color w:val="1F4E79"/>
              </w:rPr>
            </w:pPr>
          </w:p>
        </w:tc>
        <w:tc>
          <w:tcPr>
            <w:tcW w:w="8119" w:type="dxa"/>
            <w:gridSpan w:val="7"/>
            <w:tcBorders>
              <w:top w:val="single" w:color="5B9BD5" w:sz="8" w:space="0"/>
              <w:left w:val="single" w:color="5B9BD5" w:sz="8" w:space="0"/>
              <w:bottom w:val="single" w:color="5B9BD5" w:sz="8" w:space="0"/>
              <w:right w:val="single" w:color="5B9BD5" w:sz="8" w:space="0"/>
            </w:tcBorders>
          </w:tcPr>
          <w:p w:rsidR="00444083" w:rsidRDefault="00C25143" w14:paraId="3A74FA6B" w14:textId="2D2A840B">
            <w:r w:rsidRPr="009E68DD">
              <w:rPr>
                <w:b/>
                <w:color w:val="1F4E79"/>
              </w:rPr>
              <w:t xml:space="preserve">Funding principle: </w:t>
            </w:r>
            <w:r w:rsidRPr="009E68DD">
              <w:t>If the Anchor is expected to operate as a community infrastructure function, funding should go beyond the 0.2 FTE participation cost and include coordination, engagement,</w:t>
            </w:r>
            <w:r w:rsidR="00387598">
              <w:t xml:space="preserve"> consultancy,</w:t>
            </w:r>
            <w:r w:rsidRPr="009E68DD">
              <w:t xml:space="preserve"> community intelligence and accountability costs. The 7.5-hour weekly calculation should therefore be understood as the minimum participation cost, not the full cost of an effective Anchor model.</w:t>
            </w:r>
          </w:p>
          <w:p w:rsidRPr="009E68DD" w:rsidR="00C25143" w:rsidP="009330DF" w:rsidRDefault="00C25143" w14:paraId="2B37E40C" w14:textId="77777777">
            <w:pPr>
              <w:spacing w:after="0"/>
            </w:pPr>
          </w:p>
        </w:tc>
      </w:tr>
    </w:tbl>
    <w:p w:rsidR="000B3C26" w:rsidP="00A468E4" w:rsidRDefault="000B3C26" w14:paraId="05C744B6" w14:textId="77777777">
      <w:pPr>
        <w:rPr>
          <w:b/>
          <w:bCs/>
        </w:rPr>
      </w:pPr>
    </w:p>
    <w:p w:rsidR="00E31EAC" w:rsidRDefault="00E31EAC" w14:paraId="0F9EA8F9" w14:textId="77777777">
      <w:pPr>
        <w:rPr>
          <w:lang w:eastAsia="en-GB"/>
        </w:rPr>
      </w:pPr>
      <w:r>
        <w:rPr>
          <w:b/>
          <w:bCs/>
        </w:rPr>
        <w:t>Support for VCSE Anchor Organisations</w:t>
      </w:r>
    </w:p>
    <w:p w:rsidR="00E31EAC" w:rsidRDefault="00E31EAC" w14:paraId="528CC26A" w14:textId="77777777">
      <w:pPr>
        <w:rPr>
          <w:lang w:eastAsia="en-GB"/>
        </w:rPr>
      </w:pPr>
      <w:r>
        <w:t>NI Health Collective already provides support and coordination for VCSE representatives involved in AIPBs and wider health transformation programmes. This includes briefings, convening, peer support, synthesising sector intelligence and helping to align key messages while protecting local voice.</w:t>
      </w:r>
    </w:p>
    <w:p w:rsidR="00E83304" w:rsidRDefault="00E83304" w14:paraId="647ED15E" w14:textId="77777777">
      <w:pPr>
        <w:rPr>
          <w:lang w:eastAsia="en-GB"/>
        </w:rPr>
      </w:pPr>
      <w:r>
        <w:t>VCSE sector feedback indicates that NI Health Collective could offer similar support to INT-level Anchors. This would provide shared infrastructure for learning, policy intelligence and specialist networks, without NIHC becoming the local Anchor or replacing local accountability.</w:t>
      </w:r>
    </w:p>
    <w:tbl>
      <w:tblPr>
        <w:tblW w:w="0" w:type="auto"/>
        <w:jc w:val="center"/>
        <w:tblLook w:val="04A0" w:firstRow="1" w:lastRow="0" w:firstColumn="1" w:lastColumn="0" w:noHBand="0" w:noVBand="1"/>
      </w:tblPr>
      <w:tblGrid>
        <w:gridCol w:w="2887"/>
        <w:gridCol w:w="6129"/>
      </w:tblGrid>
      <w:tr w:rsidRPr="009E68DD" w:rsidR="00C25143" w:rsidTr="00F0223D" w14:paraId="3487177D" w14:textId="77777777">
        <w:trPr>
          <w:tblHeader/>
          <w:jc w:val="center"/>
        </w:trPr>
        <w:tc>
          <w:tcPr>
            <w:tcW w:w="3119"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C25143" w:rsidP="009330DF" w:rsidRDefault="00C25143" w14:paraId="7973759A" w14:textId="77777777">
            <w:pPr>
              <w:spacing w:after="40"/>
            </w:pPr>
            <w:r w:rsidRPr="009E68DD">
              <w:rPr>
                <w:b/>
                <w:color w:val="FFFFFF"/>
              </w:rPr>
              <w:t>Potential NIHC support function</w:t>
            </w:r>
          </w:p>
        </w:tc>
        <w:tc>
          <w:tcPr>
            <w:tcW w:w="6967" w:type="dxa"/>
            <w:tcBorders>
              <w:top w:val="single" w:color="D9E2F3" w:sz="4" w:space="0"/>
              <w:left w:val="single" w:color="D9E2F3" w:sz="4" w:space="0"/>
              <w:bottom w:val="single" w:color="D9E2F3" w:sz="4" w:space="0"/>
              <w:right w:val="single" w:color="D9E2F3" w:sz="4" w:space="0"/>
            </w:tcBorders>
            <w:shd w:val="clear" w:color="auto" w:fill="215E99" w:themeFill="text2" w:themeFillTint="BF"/>
            <w:vAlign w:val="center"/>
          </w:tcPr>
          <w:p w:rsidRPr="009E68DD" w:rsidR="00C25143" w:rsidP="009330DF" w:rsidRDefault="00C25143" w14:paraId="5D738A22" w14:textId="77777777">
            <w:pPr>
              <w:spacing w:after="40"/>
            </w:pPr>
            <w:r w:rsidRPr="009E68DD">
              <w:rPr>
                <w:b/>
                <w:color w:val="FFFFFF"/>
              </w:rPr>
              <w:t>Added value for Federation Anchors</w:t>
            </w:r>
          </w:p>
        </w:tc>
      </w:tr>
      <w:tr w:rsidRPr="009E68DD" w:rsidR="00C25143" w:rsidTr="00424B29" w14:paraId="6617B17A" w14:textId="77777777">
        <w:trPr>
          <w:jc w:val="center"/>
        </w:trPr>
        <w:tc>
          <w:tcPr>
            <w:tcW w:w="3119"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D9CE7C8" w14:textId="77777777">
            <w:pPr>
              <w:spacing w:after="40"/>
            </w:pPr>
            <w:r w:rsidRPr="009E68DD">
              <w:t>Shared learning and peer support</w:t>
            </w:r>
          </w:p>
        </w:tc>
        <w:tc>
          <w:tcPr>
            <w:tcW w:w="6967"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774C789" w14:textId="77777777">
            <w:pPr>
              <w:spacing w:after="40"/>
            </w:pPr>
            <w:r w:rsidRPr="009E68DD">
              <w:t>Supports consistency and avoids 17 Anchors working in isolation.</w:t>
            </w:r>
          </w:p>
        </w:tc>
      </w:tr>
      <w:tr w:rsidRPr="009E68DD" w:rsidR="00C25143" w:rsidTr="00424B29" w14:paraId="3E71D7D4" w14:textId="77777777">
        <w:trPr>
          <w:jc w:val="center"/>
        </w:trPr>
        <w:tc>
          <w:tcPr>
            <w:tcW w:w="3119"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60085F0" w14:textId="77777777">
            <w:pPr>
              <w:spacing w:after="40"/>
            </w:pPr>
            <w:r w:rsidRPr="009E68DD">
              <w:t>Policy and system briefings</w:t>
            </w:r>
          </w:p>
        </w:tc>
        <w:tc>
          <w:tcPr>
            <w:tcW w:w="6967"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D1F2240" w14:textId="77777777">
            <w:pPr>
              <w:spacing w:after="40"/>
            </w:pPr>
            <w:r w:rsidRPr="009E68DD">
              <w:t>Helps Anchors understand INT, SPPG, DoH, AIPB and regional programme developments.</w:t>
            </w:r>
          </w:p>
        </w:tc>
      </w:tr>
      <w:tr w:rsidRPr="009E68DD" w:rsidR="00C25143" w:rsidTr="00424B29" w14:paraId="1DB26D86" w14:textId="77777777">
        <w:trPr>
          <w:jc w:val="center"/>
        </w:trPr>
        <w:tc>
          <w:tcPr>
            <w:tcW w:w="3119"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071AD0B" w14:textId="77777777">
            <w:pPr>
              <w:spacing w:after="40"/>
            </w:pPr>
            <w:r w:rsidRPr="009E68DD">
              <w:t>Community intelligence synthesis</w:t>
            </w:r>
          </w:p>
        </w:tc>
        <w:tc>
          <w:tcPr>
            <w:tcW w:w="6967" w:type="dxa"/>
            <w:tcBorders>
              <w:top w:val="single" w:color="D9E2F3" w:sz="4" w:space="0"/>
              <w:left w:val="single" w:color="D9E2F3" w:sz="4" w:space="0"/>
              <w:bottom w:val="single" w:color="D9E2F3" w:sz="4" w:space="0"/>
              <w:right w:val="single" w:color="D9E2F3" w:sz="4" w:space="0"/>
            </w:tcBorders>
            <w:vAlign w:val="center"/>
          </w:tcPr>
          <w:p w:rsidRPr="00972C09" w:rsidR="00C25143" w:rsidP="00972C09" w:rsidRDefault="00972C09" w14:paraId="14084E59" w14:textId="0242C69E">
            <w:pPr>
              <w:spacing w:after="40"/>
              <w:rPr>
                <w:b/>
                <w:bCs/>
                <w:sz w:val="22"/>
              </w:rPr>
            </w:pPr>
            <w:r w:rsidRPr="00972C09">
              <w:t>Aggregate</w:t>
            </w:r>
            <w:r w:rsidRPr="009E68DD" w:rsidR="00372EE2">
              <w:t xml:space="preserve"> themes across Federations and provides regional feedback loops.</w:t>
            </w:r>
          </w:p>
        </w:tc>
      </w:tr>
      <w:tr w:rsidRPr="009E68DD" w:rsidR="00C25143" w:rsidTr="00424B29" w14:paraId="4CAD27C0" w14:textId="77777777">
        <w:trPr>
          <w:jc w:val="center"/>
        </w:trPr>
        <w:tc>
          <w:tcPr>
            <w:tcW w:w="3119"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61206234" w14:textId="77777777">
            <w:pPr>
              <w:spacing w:after="40"/>
            </w:pPr>
            <w:r w:rsidRPr="009E68DD">
              <w:t>Specialist expertise coordination</w:t>
            </w:r>
          </w:p>
        </w:tc>
        <w:tc>
          <w:tcPr>
            <w:tcW w:w="6967"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32644B65" w14:textId="77777777">
            <w:pPr>
              <w:spacing w:after="40"/>
            </w:pPr>
            <w:r w:rsidRPr="009E68DD">
              <w:t>Supports step-up / step-down engagement from NIHC member networks and thematic alliances.</w:t>
            </w:r>
          </w:p>
        </w:tc>
      </w:tr>
      <w:tr w:rsidRPr="009E68DD" w:rsidR="00C25143" w:rsidTr="00424B29" w14:paraId="3676EFBA" w14:textId="77777777">
        <w:trPr>
          <w:jc w:val="center"/>
        </w:trPr>
        <w:tc>
          <w:tcPr>
            <w:tcW w:w="3119"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29DAC439" w14:textId="77777777">
            <w:pPr>
              <w:spacing w:after="40"/>
            </w:pPr>
            <w:r w:rsidRPr="009E68DD">
              <w:t>Accountability and inclusion support</w:t>
            </w:r>
          </w:p>
        </w:tc>
        <w:tc>
          <w:tcPr>
            <w:tcW w:w="6967"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48A67F85" w14:textId="77777777">
            <w:pPr>
              <w:spacing w:after="40"/>
            </w:pPr>
            <w:r w:rsidRPr="009E68DD">
              <w:t>Helps ensure Anchors connect with smaller organisations, rural voices and seldom-heard groups.</w:t>
            </w:r>
          </w:p>
        </w:tc>
      </w:tr>
      <w:tr w:rsidRPr="009E68DD" w:rsidR="00C25143" w:rsidTr="00972C09" w14:paraId="495E2FC0" w14:textId="77777777">
        <w:trPr>
          <w:jc w:val="center"/>
        </w:trPr>
        <w:tc>
          <w:tcPr>
            <w:tcW w:w="3119" w:type="dxa"/>
            <w:tcBorders>
              <w:top w:val="single" w:color="D9E2F3" w:sz="4" w:space="0"/>
              <w:left w:val="single" w:color="D9E2F3" w:sz="4" w:space="0"/>
              <w:bottom w:val="single" w:color="D9E2F3" w:sz="4" w:space="0"/>
              <w:right w:val="single" w:color="D9E2F3" w:sz="4" w:space="0"/>
            </w:tcBorders>
            <w:vAlign w:val="center"/>
          </w:tcPr>
          <w:p w:rsidRPr="009E68DD" w:rsidR="00C25143" w:rsidP="009330DF" w:rsidRDefault="00C25143" w14:paraId="0BD78751" w14:textId="77777777">
            <w:pPr>
              <w:spacing w:after="40"/>
            </w:pPr>
            <w:r w:rsidRPr="009E68DD">
              <w:t>Escalation and feedback</w:t>
            </w:r>
          </w:p>
        </w:tc>
        <w:tc>
          <w:tcPr>
            <w:tcW w:w="6967" w:type="dxa"/>
            <w:tcBorders>
              <w:top w:val="nil"/>
              <w:left w:val="nil"/>
              <w:bottom w:val="single" w:color="D9E2F3" w:sz="8" w:space="0"/>
              <w:right w:val="single" w:color="D9E2F3" w:sz="8" w:space="0"/>
            </w:tcBorders>
            <w:tcMar>
              <w:top w:w="0" w:type="dxa"/>
              <w:left w:w="108" w:type="dxa"/>
              <w:bottom w:w="0" w:type="dxa"/>
              <w:right w:w="108" w:type="dxa"/>
            </w:tcMar>
            <w:vAlign w:val="center"/>
            <w:hideMark/>
          </w:tcPr>
          <w:p w:rsidRPr="009E68DD" w:rsidR="00C25143" w:rsidP="00972C09" w:rsidRDefault="00972C09" w14:paraId="666EF29C" w14:textId="51142EE5">
            <w:pPr>
              <w:spacing w:after="40"/>
            </w:pPr>
            <w:r>
              <w:t>Provides a route from neighbourhood issues to regional structures and back to local partners.</w:t>
            </w:r>
          </w:p>
        </w:tc>
      </w:tr>
    </w:tbl>
    <w:p w:rsidR="00977FB8" w:rsidRDefault="00977FB8" w14:paraId="28A88B6A" w14:textId="77777777">
      <w:pPr>
        <w:rPr>
          <w:b/>
          <w:bCs/>
          <w:color w:val="1F4E79"/>
        </w:rPr>
      </w:pPr>
    </w:p>
    <w:p w:rsidR="000B3C26" w:rsidRDefault="000B3C26" w14:paraId="4B3BC6E6" w14:textId="77777777">
      <w:pPr>
        <w:rPr>
          <w:b/>
          <w:bCs/>
        </w:rPr>
      </w:pPr>
    </w:p>
    <w:p w:rsidR="000B3C26" w:rsidRDefault="000B3C26" w14:paraId="6D9D00CD" w14:textId="77777777">
      <w:pPr>
        <w:rPr>
          <w:b/>
          <w:bCs/>
        </w:rPr>
      </w:pPr>
    </w:p>
    <w:p w:rsidRPr="00977FB8" w:rsidR="00407F12" w:rsidRDefault="00407F12" w14:paraId="347E1021" w14:textId="4F4A39EC">
      <w:pPr>
        <w:rPr>
          <w:lang w:eastAsia="en-GB"/>
        </w:rPr>
      </w:pPr>
      <w:r w:rsidRPr="00977FB8">
        <w:rPr>
          <w:b/>
          <w:bCs/>
        </w:rPr>
        <w:t>Indicative success measures over 6, 12 and 24 months</w:t>
      </w:r>
    </w:p>
    <w:p w:rsidR="00F56BC0" w:rsidRDefault="00F56BC0" w14:paraId="01B01319" w14:textId="77777777">
      <w:pPr>
        <w:rPr>
          <w:lang w:eastAsia="en-GB"/>
        </w:rPr>
      </w:pPr>
      <w:r>
        <w:t>These measures are intended as discussion prompts rather than final performance indicators. They should be refined through workshop feedback and aligned with agreed INT evaluation arrangements.</w:t>
      </w:r>
    </w:p>
    <w:tbl>
      <w:tblPr>
        <w:tblStyle w:val="GridTable4-Accent1"/>
        <w:tblW w:w="5000" w:type="pct"/>
        <w:tblLook w:val="04A0" w:firstRow="1" w:lastRow="0" w:firstColumn="1" w:lastColumn="0" w:noHBand="0" w:noVBand="1"/>
      </w:tblPr>
      <w:tblGrid>
        <w:gridCol w:w="1491"/>
        <w:gridCol w:w="7515"/>
      </w:tblGrid>
      <w:tr w:rsidR="00E4283D" w:rsidTr="00F0223D" w14:paraId="2322D0D4"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color="156082" w:sz="8" w:space="0"/>
              <w:left w:val="single" w:color="156082" w:sz="8" w:space="0"/>
              <w:bottom w:val="single" w:color="156082" w:sz="8" w:space="0"/>
            </w:tcBorders>
            <w:shd w:val="clear" w:color="auto" w:fill="215E99" w:themeFill="text2" w:themeFillTint="BF"/>
            <w:hideMark/>
          </w:tcPr>
          <w:p w:rsidR="00E4283D" w:rsidRDefault="00E4283D" w14:paraId="6CD05748" w14:textId="77777777">
            <w:pPr>
              <w:spacing w:after="40"/>
              <w:rPr>
                <w:lang w:eastAsia="en-GB"/>
              </w:rPr>
            </w:pPr>
            <w:r>
              <w:rPr>
                <w:color w:val="FFFFFF"/>
                <w:sz w:val="22"/>
                <w:szCs w:val="22"/>
              </w:rPr>
              <w:t>Timeframe</w:t>
            </w:r>
          </w:p>
        </w:tc>
        <w:tc>
          <w:tcPr>
            <w:tcW w:w="0" w:type="auto"/>
            <w:tcBorders>
              <w:top w:val="single" w:color="156082" w:sz="8" w:space="0"/>
              <w:bottom w:val="single" w:color="156082" w:sz="8" w:space="0"/>
              <w:right w:val="single" w:color="156082" w:sz="8" w:space="0"/>
            </w:tcBorders>
            <w:shd w:val="clear" w:color="auto" w:fill="215E99" w:themeFill="text2" w:themeFillTint="BF"/>
            <w:hideMark/>
          </w:tcPr>
          <w:p w:rsidR="00E4283D" w:rsidRDefault="00E4283D" w14:paraId="0FB162AA" w14:textId="77777777">
            <w:pPr>
              <w:spacing w:after="40"/>
              <w:cnfStyle w:val="100000000000" w:firstRow="1" w:lastRow="0" w:firstColumn="0" w:lastColumn="0" w:oddVBand="0" w:evenVBand="0" w:oddHBand="0" w:evenHBand="0" w:firstRowFirstColumn="0" w:firstRowLastColumn="0" w:lastRowFirstColumn="0" w:lastRowLastColumn="0"/>
            </w:pPr>
            <w:r>
              <w:rPr>
                <w:color w:val="FFFFFF"/>
                <w:sz w:val="22"/>
                <w:szCs w:val="22"/>
              </w:rPr>
              <w:t>What success could look like</w:t>
            </w:r>
          </w:p>
        </w:tc>
      </w:tr>
      <w:tr w:rsidR="00BD48D0" w:rsidTr="00F0223D" w14:paraId="052E825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D48D0" w:rsidP="00E4283D" w:rsidRDefault="00E4283D" w14:paraId="340E909E" w14:textId="7809CC4A">
            <w:pPr>
              <w:spacing w:after="40"/>
              <w:rPr>
                <w:lang w:eastAsia="en-GB"/>
              </w:rPr>
            </w:pPr>
            <w:r>
              <w:rPr>
                <w:color w:val="000000"/>
                <w:sz w:val="22"/>
                <w:szCs w:val="22"/>
              </w:rPr>
              <w:t>After 6 months</w:t>
            </w:r>
          </w:p>
        </w:tc>
        <w:tc>
          <w:tcPr>
            <w:tcW w:w="0" w:type="auto"/>
            <w:hideMark/>
          </w:tcPr>
          <w:p w:rsidR="00BD48D0" w:rsidP="00372EE2" w:rsidRDefault="00BD48D0" w14:paraId="2DCED18B" w14:textId="77777777">
            <w:pPr>
              <w:pStyle w:val="ListParagraph"/>
              <w:numPr>
                <w:ilvl w:val="0"/>
                <w:numId w:val="10"/>
              </w:numPr>
              <w:cnfStyle w:val="000000100000" w:firstRow="0" w:lastRow="0" w:firstColumn="0" w:lastColumn="0" w:oddVBand="0" w:evenVBand="0" w:oddHBand="1" w:evenHBand="0" w:firstRowFirstColumn="0" w:firstRowLastColumn="0" w:lastRowFirstColumn="0" w:lastRowLastColumn="0"/>
            </w:pPr>
            <w:r>
              <w:t>Anchor role descriptions, selection criteria, accountability arrangements and conflict of interest processes are agreed.</w:t>
            </w:r>
          </w:p>
          <w:p w:rsidR="00BD48D0" w:rsidP="00372EE2" w:rsidRDefault="00BD48D0" w14:paraId="72499AA8" w14:textId="77777777">
            <w:pPr>
              <w:pStyle w:val="ListParagraph"/>
              <w:numPr>
                <w:ilvl w:val="0"/>
                <w:numId w:val="10"/>
              </w:numPr>
              <w:cnfStyle w:val="000000100000" w:firstRow="0" w:lastRow="0" w:firstColumn="0" w:lastColumn="0" w:oddVBand="0" w:evenVBand="0" w:oddHBand="1" w:evenHBand="0" w:firstRowFirstColumn="0" w:firstRowLastColumn="0" w:lastRowFirstColumn="0" w:lastRowLastColumn="0"/>
            </w:pPr>
            <w:r>
              <w:t>Initial Anchors or interim representatives are identified across the 17 INT areas.</w:t>
            </w:r>
          </w:p>
          <w:p w:rsidR="00BD48D0" w:rsidP="00372EE2" w:rsidRDefault="00BD48D0" w14:paraId="0CBF2515" w14:textId="77777777">
            <w:pPr>
              <w:pStyle w:val="ListParagraph"/>
              <w:numPr>
                <w:ilvl w:val="0"/>
                <w:numId w:val="10"/>
              </w:numPr>
              <w:cnfStyle w:val="000000100000" w:firstRow="0" w:lastRow="0" w:firstColumn="0" w:lastColumn="0" w:oddVBand="0" w:evenVBand="0" w:oddHBand="1" w:evenHBand="0" w:firstRowFirstColumn="0" w:firstRowLastColumn="0" w:lastRowFirstColumn="0" w:lastRowLastColumn="0"/>
            </w:pPr>
            <w:r>
              <w:t>Local feedback routes are in place with VCSE organisations, including smaller community organisations and specialist providers.</w:t>
            </w:r>
          </w:p>
          <w:p w:rsidR="00BD48D0" w:rsidP="00372EE2" w:rsidRDefault="00BD48D0" w14:paraId="1BFE4875" w14:textId="77777777">
            <w:pPr>
              <w:pStyle w:val="ListParagraph"/>
              <w:numPr>
                <w:ilvl w:val="0"/>
                <w:numId w:val="10"/>
              </w:numPr>
              <w:cnfStyle w:val="000000100000" w:firstRow="0" w:lastRow="0" w:firstColumn="0" w:lastColumn="0" w:oddVBand="0" w:evenVBand="0" w:oddHBand="1" w:evenHBand="0" w:firstRowFirstColumn="0" w:firstRowLastColumn="0" w:lastRowFirstColumn="0" w:lastRowLastColumn="0"/>
            </w:pPr>
            <w:r>
              <w:t>Anchors are participating in INT discussions and beginning to bring community intelligence into planning.</w:t>
            </w:r>
          </w:p>
        </w:tc>
      </w:tr>
      <w:tr w:rsidR="00BD48D0" w14:paraId="0BD1BA51" w14:textId="77777777">
        <w:tc>
          <w:tcPr>
            <w:cnfStyle w:val="001000000000" w:firstRow="0" w:lastRow="0" w:firstColumn="1" w:lastColumn="0" w:oddVBand="0" w:evenVBand="0" w:oddHBand="0" w:evenHBand="0" w:firstRowFirstColumn="0" w:firstRowLastColumn="0" w:lastRowFirstColumn="0" w:lastRowLastColumn="0"/>
            <w:tcW w:w="0" w:type="auto"/>
            <w:hideMark/>
          </w:tcPr>
          <w:p w:rsidR="00BD48D0" w:rsidP="00E4283D" w:rsidRDefault="00E4283D" w14:paraId="644A917A" w14:textId="0FFF9815">
            <w:pPr>
              <w:spacing w:after="40"/>
              <w:rPr>
                <w:rFonts w:ascii="Aptos" w:hAnsi="Aptos"/>
                <w:lang w:eastAsia="en-GB"/>
              </w:rPr>
            </w:pPr>
            <w:r>
              <w:rPr>
                <w:sz w:val="22"/>
                <w:szCs w:val="22"/>
              </w:rPr>
              <w:t>After 12 months</w:t>
            </w:r>
          </w:p>
        </w:tc>
        <w:tc>
          <w:tcPr>
            <w:tcW w:w="0" w:type="auto"/>
            <w:hideMark/>
          </w:tcPr>
          <w:p w:rsidR="00BD48D0" w:rsidP="00372EE2" w:rsidRDefault="00BD48D0" w14:paraId="1BBBE1AB" w14:textId="777777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pPr>
            <w:r>
              <w:t>Anchors are operating consistently across INT areas, with appropriate local flexibility.</w:t>
            </w:r>
          </w:p>
          <w:p w:rsidR="00BD48D0" w:rsidP="00372EE2" w:rsidRDefault="00BD48D0" w14:paraId="11CD29A0" w14:textId="777777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pPr>
            <w:r>
              <w:t>Regular brief/debrief arrangements are in place between Anchors, local VCSE networks, AIPB representatives and relevant Community Planning structures.</w:t>
            </w:r>
          </w:p>
          <w:p w:rsidR="00BD48D0" w:rsidP="00372EE2" w:rsidRDefault="00BD48D0" w14:paraId="06C2A410" w14:textId="777777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pPr>
            <w:r>
              <w:t>Specialist step-up / step-down input is being used to support priority populations, including older people, frailty, carers, dementia, palliative and end-of-life care.</w:t>
            </w:r>
          </w:p>
          <w:p w:rsidR="00BD48D0" w:rsidP="00372EE2" w:rsidRDefault="00BD48D0" w14:paraId="741CB17B" w14:textId="777777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pPr>
            <w:r>
              <w:t>There is evidence that community intelligence, lived experience and VCSE assets are influencing INT plans, pathways and service design.</w:t>
            </w:r>
          </w:p>
        </w:tc>
      </w:tr>
      <w:tr w:rsidR="00BD48D0" w:rsidTr="00F0223D" w14:paraId="34FE93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D48D0" w:rsidP="00E4283D" w:rsidRDefault="00E4283D" w14:paraId="07E56802" w14:textId="3A6BFC9A">
            <w:pPr>
              <w:spacing w:after="40"/>
              <w:rPr>
                <w:rFonts w:ascii="Aptos" w:hAnsi="Aptos"/>
                <w:lang w:eastAsia="en-GB"/>
              </w:rPr>
            </w:pPr>
            <w:r>
              <w:rPr>
                <w:color w:val="000000"/>
                <w:sz w:val="22"/>
                <w:szCs w:val="22"/>
              </w:rPr>
              <w:t>After 24 months</w:t>
            </w:r>
          </w:p>
        </w:tc>
        <w:tc>
          <w:tcPr>
            <w:tcW w:w="0" w:type="auto"/>
            <w:hideMark/>
          </w:tcPr>
          <w:p w:rsidR="00BD48D0" w:rsidP="00372EE2" w:rsidRDefault="00BD48D0" w14:paraId="06D3B925" w14:textId="77777777">
            <w:pPr>
              <w:pStyle w:val="ListParagraph"/>
              <w:numPr>
                <w:ilvl w:val="0"/>
                <w:numId w:val="12"/>
              </w:numPr>
              <w:cnfStyle w:val="000000100000" w:firstRow="0" w:lastRow="0" w:firstColumn="0" w:lastColumn="0" w:oddVBand="0" w:evenVBand="0" w:oddHBand="1" w:evenHBand="0" w:firstRowFirstColumn="0" w:firstRowLastColumn="0" w:lastRowFirstColumn="0" w:lastRowLastColumn="0"/>
            </w:pPr>
            <w:r>
              <w:t>The Anchor model is embedded as part of INT governance and recognised as a funded community infrastructure function.</w:t>
            </w:r>
          </w:p>
          <w:p w:rsidR="00BD48D0" w:rsidP="00372EE2" w:rsidRDefault="00BD48D0" w14:paraId="03727E90" w14:textId="77777777">
            <w:pPr>
              <w:pStyle w:val="ListParagraph"/>
              <w:numPr>
                <w:ilvl w:val="0"/>
                <w:numId w:val="12"/>
              </w:numPr>
              <w:cnfStyle w:val="000000100000" w:firstRow="0" w:lastRow="0" w:firstColumn="0" w:lastColumn="0" w:oddVBand="0" w:evenVBand="0" w:oddHBand="1" w:evenHBand="0" w:firstRowFirstColumn="0" w:firstRowLastColumn="0" w:lastRowFirstColumn="0" w:lastRowLastColumn="0"/>
            </w:pPr>
            <w:r>
              <w:t>There is demonstrable contribution to prevention, care closer to home, proactive care planning, improved patient and carer experience and better use of community resources.</w:t>
            </w:r>
          </w:p>
          <w:p w:rsidR="00BD48D0" w:rsidP="00372EE2" w:rsidRDefault="00BD48D0" w14:paraId="5A6DFDAD" w14:textId="77777777">
            <w:pPr>
              <w:pStyle w:val="ListParagraph"/>
              <w:numPr>
                <w:ilvl w:val="0"/>
                <w:numId w:val="12"/>
              </w:numPr>
              <w:cnfStyle w:val="000000100000" w:firstRow="0" w:lastRow="0" w:firstColumn="0" w:lastColumn="0" w:oddVBand="0" w:evenVBand="0" w:oddHBand="1" w:evenHBand="0" w:firstRowFirstColumn="0" w:firstRowLastColumn="0" w:lastRowFirstColumn="0" w:lastRowLastColumn="0"/>
            </w:pPr>
            <w:r>
              <w:t>Regional learning is being shared across the 17 areas, supported by NIHC or an agreed support infrastructure.</w:t>
            </w:r>
          </w:p>
          <w:p w:rsidR="00BD48D0" w:rsidP="00372EE2" w:rsidRDefault="00BD48D0" w14:paraId="48A9CBDC" w14:textId="77777777">
            <w:pPr>
              <w:pStyle w:val="ListParagraph"/>
              <w:numPr>
                <w:ilvl w:val="0"/>
                <w:numId w:val="12"/>
              </w:numPr>
              <w:cnfStyle w:val="000000100000" w:firstRow="0" w:lastRow="0" w:firstColumn="0" w:lastColumn="0" w:oddVBand="0" w:evenVBand="0" w:oddHBand="1" w:evenHBand="0" w:firstRowFirstColumn="0" w:firstRowLastColumn="0" w:lastRowFirstColumn="0" w:lastRowLastColumn="0"/>
            </w:pPr>
            <w:r>
              <w:t>Funding, participation, evaluation and accountability arrangements are reviewed and adapted based on evidence, local experience and changing INT priorities.</w:t>
            </w:r>
          </w:p>
        </w:tc>
      </w:tr>
    </w:tbl>
    <w:p w:rsidR="00977FB8" w:rsidRDefault="00977FB8" w14:paraId="477DC17B" w14:textId="77777777">
      <w:pPr>
        <w:rPr>
          <w:b/>
          <w:bCs/>
          <w:color w:val="1F4E79"/>
        </w:rPr>
      </w:pPr>
    </w:p>
    <w:p w:rsidRPr="00977FB8" w:rsidR="00B417AB" w:rsidRDefault="00B417AB" w14:paraId="7C989971" w14:textId="64F93547">
      <w:pPr>
        <w:rPr>
          <w:lang w:eastAsia="en-GB"/>
        </w:rPr>
      </w:pPr>
      <w:r w:rsidRPr="00977FB8">
        <w:rPr>
          <w:b/>
          <w:bCs/>
        </w:rPr>
        <w:t>Summary of key workshop discussion points</w:t>
      </w:r>
    </w:p>
    <w:p w:rsidR="00B417AB" w:rsidP="00372EE2" w:rsidRDefault="00B417AB" w14:paraId="3E9E87A2" w14:textId="77777777">
      <w:pPr>
        <w:pStyle w:val="ListParagraph"/>
        <w:numPr>
          <w:ilvl w:val="0"/>
          <w:numId w:val="13"/>
        </w:numPr>
        <w:spacing w:line="278" w:lineRule="auto"/>
        <w:rPr>
          <w:rFonts w:asciiTheme="minorHAnsi" w:hAnsiTheme="minorHAnsi" w:cstheme="minorBidi"/>
        </w:rPr>
      </w:pPr>
      <w:r w:rsidRPr="00B417AB">
        <w:rPr>
          <w:b/>
          <w:bCs/>
        </w:rPr>
        <w:t>Role and value:</w:t>
      </w:r>
      <w:r w:rsidRPr="00B417AB">
        <w:t xml:space="preserve"> Confirm whether the Anchor should be a funded neighbourhood leadership, engagement and intelligence function, rather than a representative seat only.</w:t>
      </w:r>
    </w:p>
    <w:p w:rsidR="00B417AB" w:rsidP="00372EE2" w:rsidRDefault="00B417AB" w14:paraId="62C617AF" w14:textId="77777777">
      <w:pPr>
        <w:pStyle w:val="ListParagraph"/>
        <w:numPr>
          <w:ilvl w:val="0"/>
          <w:numId w:val="13"/>
        </w:numPr>
        <w:spacing w:line="278" w:lineRule="auto"/>
        <w:rPr>
          <w:rFonts w:asciiTheme="minorHAnsi" w:hAnsiTheme="minorHAnsi" w:cstheme="minorBidi"/>
        </w:rPr>
      </w:pPr>
      <w:r>
        <w:rPr>
          <w:b/>
          <w:bCs/>
        </w:rPr>
        <w:t>Model and geography:</w:t>
      </w:r>
      <w:r>
        <w:t xml:space="preserve"> Test the preferred model across the 17 GP Federation / INT areas, including what should be consistent regionally and where local flexibility is required.</w:t>
      </w:r>
    </w:p>
    <w:p w:rsidR="00B417AB" w:rsidP="00372EE2" w:rsidRDefault="00B417AB" w14:paraId="64877980" w14:textId="77777777">
      <w:pPr>
        <w:pStyle w:val="ListParagraph"/>
        <w:numPr>
          <w:ilvl w:val="0"/>
          <w:numId w:val="13"/>
        </w:numPr>
        <w:spacing w:line="278" w:lineRule="auto"/>
        <w:rPr>
          <w:rFonts w:asciiTheme="minorHAnsi" w:hAnsiTheme="minorHAnsi" w:cstheme="minorBidi"/>
        </w:rPr>
      </w:pPr>
      <w:r>
        <w:rPr>
          <w:b/>
          <w:bCs/>
        </w:rPr>
        <w:t>Governance and accountability:</w:t>
      </w:r>
      <w:r>
        <w:t xml:space="preserve"> Identify the mandate, selection process, conflict of interest arrangements, review mechanisms and feedback routes needed to give the role legitimacy.</w:t>
      </w:r>
    </w:p>
    <w:p w:rsidR="00B417AB" w:rsidP="00372EE2" w:rsidRDefault="00B417AB" w14:paraId="3C4D170A" w14:textId="77777777">
      <w:pPr>
        <w:pStyle w:val="ListParagraph"/>
        <w:numPr>
          <w:ilvl w:val="0"/>
          <w:numId w:val="13"/>
        </w:numPr>
        <w:spacing w:line="278" w:lineRule="auto"/>
        <w:rPr>
          <w:rFonts w:asciiTheme="minorHAnsi" w:hAnsiTheme="minorHAnsi" w:cstheme="minorBidi"/>
        </w:rPr>
      </w:pPr>
      <w:r>
        <w:rPr>
          <w:b/>
          <w:bCs/>
        </w:rPr>
        <w:t>Connections and sector voice:</w:t>
      </w:r>
      <w:r>
        <w:t xml:space="preserve"> Agree how Anchors should connect smaller community organisations, specialist providers, AIPB representatives, Community Planning structures and regional VCSE networks into INT planning and delivery.</w:t>
      </w:r>
    </w:p>
    <w:p w:rsidR="00B417AB" w:rsidP="00372EE2" w:rsidRDefault="00B417AB" w14:paraId="7479B7EA" w14:textId="77777777">
      <w:pPr>
        <w:pStyle w:val="ListParagraph"/>
        <w:numPr>
          <w:ilvl w:val="0"/>
          <w:numId w:val="13"/>
        </w:numPr>
        <w:spacing w:line="278" w:lineRule="auto"/>
        <w:rPr>
          <w:rFonts w:asciiTheme="minorHAnsi" w:hAnsiTheme="minorHAnsi" w:cstheme="minorBidi"/>
        </w:rPr>
      </w:pPr>
      <w:r>
        <w:rPr>
          <w:b/>
          <w:bCs/>
        </w:rPr>
        <w:t>Support, capacity and funding:</w:t>
      </w:r>
      <w:r>
        <w:t xml:space="preserve"> Clarify the minimum viable support required for participation and the additional resources needed if Anchors are expected to operate as a wider community infrastructure function.</w:t>
      </w:r>
    </w:p>
    <w:p w:rsidR="00F0223D" w:rsidRDefault="00F0223D" w14:paraId="6CA5B1C1" w14:textId="624CF33A">
      <w:pPr>
        <w:rPr>
          <w:b/>
          <w:bCs/>
        </w:rPr>
      </w:pPr>
      <w:r>
        <w:rPr>
          <w:b/>
          <w:bCs/>
        </w:rPr>
        <w:t>Conclusion:</w:t>
      </w:r>
    </w:p>
    <w:p w:rsidR="00E516F3" w:rsidRDefault="00E516F3" w14:paraId="0A5FF563" w14:textId="38B75787">
      <w:pPr>
        <w:rPr>
          <w:lang w:eastAsia="en-GB"/>
        </w:rPr>
      </w:pPr>
      <w:r>
        <w:t>Th</w:t>
      </w:r>
      <w:r w:rsidR="00977FB8">
        <w:t xml:space="preserve">is discussion paper and associated </w:t>
      </w:r>
      <w:r>
        <w:t>workshop is intended to support a clear and practical VCSE sector position on the development of Anchor Organisations within Integrated Neighbourhood Teams. Feedback will help identify where there is consensus, where further work is needed, and what conditions must be in place for the role to be legitimate, effective and sustainable. The aim is not to create another layer of process, but to establish a funded and accountable mechanism through which VCSE knowledge, lived experience, community assets and specialist expertise can contribute to better outcomes for people, families and communities.</w:t>
      </w:r>
    </w:p>
    <w:p w:rsidR="00A44DE9" w:rsidRDefault="00A44DE9" w14:paraId="30660408" w14:textId="77777777"/>
    <w:p w:rsidR="00A44DE9" w:rsidRDefault="00A44DE9" w14:paraId="52D6A886" w14:textId="77777777"/>
    <w:p w:rsidR="00A44DE9" w:rsidRDefault="00A44DE9" w14:paraId="3567A4B7" w14:textId="77777777"/>
    <w:p w:rsidR="00A44DE9" w:rsidRDefault="00A44DE9" w14:paraId="3F1FA9A8" w14:textId="77777777"/>
    <w:p w:rsidR="00A44DE9" w:rsidRDefault="00A44DE9" w14:paraId="20194300" w14:textId="77777777"/>
    <w:p w:rsidR="00A44DE9" w:rsidRDefault="00A44DE9" w14:paraId="2C4F5151" w14:textId="79EF5894">
      <w:pPr>
        <w:spacing w:line="278" w:lineRule="auto"/>
      </w:pPr>
      <w:r>
        <w:br w:type="page"/>
      </w:r>
    </w:p>
    <w:p w:rsidRPr="00F03B30" w:rsidR="00A44DE9" w:rsidRDefault="0070540F" w14:paraId="6E2622E5" w14:textId="1C048405">
      <w:pPr>
        <w:rPr>
          <w:b/>
          <w:bCs/>
          <w:lang w:eastAsia="en-GB"/>
        </w:rPr>
      </w:pPr>
      <w:r w:rsidRPr="00F03B30">
        <w:rPr>
          <w:b/>
          <w:bCs/>
          <w:lang w:eastAsia="en-GB"/>
        </w:rPr>
        <w:t>Input has been received from the following</w:t>
      </w:r>
      <w:r w:rsidR="00813C6B">
        <w:rPr>
          <w:b/>
          <w:bCs/>
          <w:lang w:eastAsia="en-GB"/>
        </w:rPr>
        <w:t xml:space="preserve"> organsiations/networks</w:t>
      </w:r>
      <w:r w:rsidRPr="00F03B30">
        <w:rPr>
          <w:b/>
          <w:bCs/>
          <w:lang w:eastAsia="en-GB"/>
        </w:rPr>
        <w:t xml:space="preserve">: </w:t>
      </w:r>
    </w:p>
    <w:p w:rsidR="00F03B30" w:rsidP="00F03B30" w:rsidRDefault="00F03B30" w14:paraId="12AEAB0B" w14:textId="77777777">
      <w:pPr>
        <w:pStyle w:val="ListParagraph"/>
        <w:numPr>
          <w:ilvl w:val="0"/>
          <w:numId w:val="16"/>
        </w:numPr>
        <w:rPr>
          <w:sz w:val="20"/>
          <w:szCs w:val="20"/>
          <w:lang w:eastAsia="en-GB"/>
        </w:rPr>
        <w:sectPr w:rsidR="00F03B30">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440" w:bottom="1440" w:left="1440" w:header="708" w:footer="708" w:gutter="0"/>
          <w:cols w:space="708"/>
          <w:docGrid w:linePitch="360"/>
        </w:sectPr>
      </w:pPr>
    </w:p>
    <w:p w:rsidRPr="00F03B30" w:rsidR="00B407D0" w:rsidP="00F03B30" w:rsidRDefault="00B407D0" w14:paraId="0EF9EC3E" w14:textId="1E725DE3">
      <w:pPr>
        <w:pStyle w:val="ListParagraph"/>
        <w:numPr>
          <w:ilvl w:val="0"/>
          <w:numId w:val="16"/>
        </w:numPr>
        <w:rPr>
          <w:sz w:val="20"/>
          <w:szCs w:val="20"/>
          <w:lang w:eastAsia="en-GB"/>
        </w:rPr>
      </w:pPr>
      <w:r w:rsidRPr="00F03B30">
        <w:rPr>
          <w:sz w:val="20"/>
          <w:szCs w:val="20"/>
          <w:lang w:eastAsia="en-GB"/>
        </w:rPr>
        <w:t>Impact Network NI</w:t>
      </w:r>
    </w:p>
    <w:p w:rsidRPr="00F03B30" w:rsidR="00B407D0" w:rsidP="00F03B30" w:rsidRDefault="00B407D0" w14:paraId="24E8C89D" w14:textId="01AE6593">
      <w:pPr>
        <w:pStyle w:val="ListParagraph"/>
        <w:numPr>
          <w:ilvl w:val="0"/>
          <w:numId w:val="16"/>
        </w:numPr>
        <w:rPr>
          <w:sz w:val="20"/>
          <w:szCs w:val="20"/>
          <w:lang w:eastAsia="en-GB"/>
        </w:rPr>
      </w:pPr>
      <w:r w:rsidRPr="00F03B30">
        <w:rPr>
          <w:sz w:val="20"/>
          <w:szCs w:val="20"/>
          <w:lang w:eastAsia="en-GB"/>
        </w:rPr>
        <w:t>MindWise</w:t>
      </w:r>
    </w:p>
    <w:p w:rsidRPr="00F03B30" w:rsidR="00B407D0" w:rsidP="00F03B30" w:rsidRDefault="00B407D0" w14:paraId="1164EA75" w14:textId="22A86354">
      <w:pPr>
        <w:pStyle w:val="ListParagraph"/>
        <w:numPr>
          <w:ilvl w:val="0"/>
          <w:numId w:val="16"/>
        </w:numPr>
        <w:rPr>
          <w:sz w:val="20"/>
          <w:szCs w:val="20"/>
          <w:lang w:eastAsia="en-GB"/>
        </w:rPr>
      </w:pPr>
      <w:r w:rsidRPr="00F03B30">
        <w:rPr>
          <w:sz w:val="20"/>
          <w:szCs w:val="20"/>
          <w:lang w:eastAsia="en-GB"/>
        </w:rPr>
        <w:t>anonymous</w:t>
      </w:r>
      <w:r w:rsidRPr="00F03B30">
        <w:rPr>
          <w:sz w:val="20"/>
          <w:szCs w:val="20"/>
          <w:lang w:eastAsia="en-GB"/>
        </w:rPr>
        <w:tab/>
      </w:r>
    </w:p>
    <w:p w:rsidRPr="00F03B30" w:rsidR="00B407D0" w:rsidP="00F03B30" w:rsidRDefault="00B407D0" w14:paraId="67833F8D" w14:textId="26684E96">
      <w:pPr>
        <w:pStyle w:val="ListParagraph"/>
        <w:numPr>
          <w:ilvl w:val="0"/>
          <w:numId w:val="16"/>
        </w:numPr>
        <w:rPr>
          <w:sz w:val="20"/>
          <w:szCs w:val="20"/>
          <w:lang w:eastAsia="en-GB"/>
        </w:rPr>
      </w:pPr>
      <w:r w:rsidRPr="00F03B30">
        <w:rPr>
          <w:sz w:val="20"/>
          <w:szCs w:val="20"/>
          <w:lang w:eastAsia="en-GB"/>
        </w:rPr>
        <w:t>LORAG</w:t>
      </w:r>
    </w:p>
    <w:p w:rsidRPr="00F03B30" w:rsidR="00B407D0" w:rsidP="00F03B30" w:rsidRDefault="00B407D0" w14:paraId="3129F524" w14:textId="01DFB371">
      <w:pPr>
        <w:pStyle w:val="ListParagraph"/>
        <w:numPr>
          <w:ilvl w:val="0"/>
          <w:numId w:val="16"/>
        </w:numPr>
        <w:rPr>
          <w:sz w:val="20"/>
          <w:szCs w:val="20"/>
          <w:lang w:eastAsia="en-GB"/>
        </w:rPr>
      </w:pPr>
      <w:r w:rsidRPr="00F03B30">
        <w:rPr>
          <w:sz w:val="20"/>
          <w:szCs w:val="20"/>
          <w:lang w:eastAsia="en-GB"/>
        </w:rPr>
        <w:t>Homeless Connect</w:t>
      </w:r>
    </w:p>
    <w:p w:rsidRPr="00F03B30" w:rsidR="00B407D0" w:rsidP="00F03B30" w:rsidRDefault="00B407D0" w14:paraId="31AE35A7" w14:textId="31152ECC">
      <w:pPr>
        <w:pStyle w:val="ListParagraph"/>
        <w:numPr>
          <w:ilvl w:val="0"/>
          <w:numId w:val="16"/>
        </w:numPr>
        <w:rPr>
          <w:sz w:val="20"/>
          <w:szCs w:val="20"/>
          <w:lang w:eastAsia="en-GB"/>
        </w:rPr>
      </w:pPr>
      <w:r w:rsidRPr="00F03B30">
        <w:rPr>
          <w:sz w:val="20"/>
          <w:szCs w:val="20"/>
          <w:lang w:eastAsia="en-GB"/>
        </w:rPr>
        <w:t>BCoI and PHA MAME &amp; Migrant Advisory Group</w:t>
      </w:r>
    </w:p>
    <w:p w:rsidRPr="00F03B30" w:rsidR="00B407D0" w:rsidP="00F03B30" w:rsidRDefault="00B407D0" w14:paraId="034D1DC4" w14:textId="7C98ECE3">
      <w:pPr>
        <w:pStyle w:val="ListParagraph"/>
        <w:numPr>
          <w:ilvl w:val="0"/>
          <w:numId w:val="16"/>
        </w:numPr>
        <w:rPr>
          <w:sz w:val="20"/>
          <w:szCs w:val="20"/>
          <w:lang w:eastAsia="en-GB"/>
        </w:rPr>
      </w:pPr>
      <w:r w:rsidRPr="00F03B30">
        <w:rPr>
          <w:sz w:val="20"/>
          <w:szCs w:val="20"/>
          <w:lang w:eastAsia="en-GB"/>
        </w:rPr>
        <w:t>Long Term Conditions Alliance</w:t>
      </w:r>
    </w:p>
    <w:p w:rsidRPr="00F03B30" w:rsidR="00B407D0" w:rsidP="00F03B30" w:rsidRDefault="00B407D0" w14:paraId="407B905D" w14:textId="3F5DE686">
      <w:pPr>
        <w:pStyle w:val="ListParagraph"/>
        <w:numPr>
          <w:ilvl w:val="0"/>
          <w:numId w:val="16"/>
        </w:numPr>
        <w:rPr>
          <w:sz w:val="20"/>
          <w:szCs w:val="20"/>
          <w:lang w:eastAsia="en-GB"/>
        </w:rPr>
      </w:pPr>
      <w:r w:rsidRPr="00F03B30">
        <w:rPr>
          <w:sz w:val="20"/>
          <w:szCs w:val="20"/>
          <w:lang w:eastAsia="en-GB"/>
        </w:rPr>
        <w:t>Agewell Partnership</w:t>
      </w:r>
    </w:p>
    <w:p w:rsidRPr="00F03B30" w:rsidR="00B407D0" w:rsidP="00F03B30" w:rsidRDefault="00B407D0" w14:paraId="5F5E2769" w14:textId="730F8F51">
      <w:pPr>
        <w:pStyle w:val="ListParagraph"/>
        <w:numPr>
          <w:ilvl w:val="0"/>
          <w:numId w:val="16"/>
        </w:numPr>
        <w:rPr>
          <w:sz w:val="20"/>
          <w:szCs w:val="20"/>
          <w:lang w:eastAsia="en-GB"/>
        </w:rPr>
      </w:pPr>
      <w:r w:rsidRPr="00F03B30">
        <w:rPr>
          <w:sz w:val="20"/>
          <w:szCs w:val="20"/>
          <w:lang w:eastAsia="en-GB"/>
        </w:rPr>
        <w:t>HLC Alliance</w:t>
      </w:r>
    </w:p>
    <w:p w:rsidRPr="00F03B30" w:rsidR="00B407D0" w:rsidP="00F03B30" w:rsidRDefault="00B407D0" w14:paraId="3A1AE001" w14:textId="4B9D0EA1">
      <w:pPr>
        <w:pStyle w:val="ListParagraph"/>
        <w:numPr>
          <w:ilvl w:val="0"/>
          <w:numId w:val="16"/>
        </w:numPr>
        <w:rPr>
          <w:sz w:val="20"/>
          <w:szCs w:val="20"/>
          <w:lang w:eastAsia="en-GB"/>
        </w:rPr>
      </w:pPr>
      <w:r w:rsidRPr="00F03B30">
        <w:rPr>
          <w:sz w:val="20"/>
          <w:szCs w:val="20"/>
          <w:lang w:eastAsia="en-GB"/>
        </w:rPr>
        <w:t>County Down Rural Community Network</w:t>
      </w:r>
    </w:p>
    <w:p w:rsidRPr="00F03B30" w:rsidR="00B407D0" w:rsidP="00F03B30" w:rsidRDefault="00B407D0" w14:paraId="34105FAE" w14:textId="0FA86DF8">
      <w:pPr>
        <w:pStyle w:val="ListParagraph"/>
        <w:numPr>
          <w:ilvl w:val="0"/>
          <w:numId w:val="16"/>
        </w:numPr>
        <w:rPr>
          <w:sz w:val="20"/>
          <w:szCs w:val="20"/>
          <w:lang w:eastAsia="en-GB"/>
        </w:rPr>
      </w:pPr>
      <w:r w:rsidRPr="00F03B30">
        <w:rPr>
          <w:sz w:val="20"/>
          <w:szCs w:val="20"/>
          <w:lang w:eastAsia="en-GB"/>
        </w:rPr>
        <w:t>ARC Healthy Living Centre</w:t>
      </w:r>
    </w:p>
    <w:p w:rsidRPr="00F03B30" w:rsidR="00B407D0" w:rsidP="00F03B30" w:rsidRDefault="00B407D0" w14:paraId="73335D77" w14:textId="0C49D29F">
      <w:pPr>
        <w:pStyle w:val="ListParagraph"/>
        <w:numPr>
          <w:ilvl w:val="0"/>
          <w:numId w:val="16"/>
        </w:numPr>
        <w:rPr>
          <w:sz w:val="20"/>
          <w:szCs w:val="20"/>
          <w:lang w:eastAsia="en-GB"/>
        </w:rPr>
      </w:pPr>
      <w:r w:rsidRPr="00F03B30">
        <w:rPr>
          <w:sz w:val="20"/>
          <w:szCs w:val="20"/>
          <w:lang w:eastAsia="en-GB"/>
        </w:rPr>
        <w:t>Healthy Living Alliance</w:t>
      </w:r>
    </w:p>
    <w:p w:rsidRPr="00F03B30" w:rsidR="00B407D0" w:rsidP="00F03B30" w:rsidRDefault="00B407D0" w14:paraId="14959478" w14:textId="71944586">
      <w:pPr>
        <w:pStyle w:val="ListParagraph"/>
        <w:numPr>
          <w:ilvl w:val="0"/>
          <w:numId w:val="16"/>
        </w:numPr>
        <w:rPr>
          <w:sz w:val="20"/>
          <w:szCs w:val="20"/>
          <w:lang w:eastAsia="en-GB"/>
        </w:rPr>
      </w:pPr>
      <w:r w:rsidRPr="00F03B30">
        <w:rPr>
          <w:sz w:val="20"/>
          <w:szCs w:val="20"/>
          <w:lang w:eastAsia="en-GB"/>
        </w:rPr>
        <w:t>CRUN</w:t>
      </w:r>
      <w:r w:rsidRPr="00F03B30" w:rsidR="00A26FD4">
        <w:rPr>
          <w:sz w:val="20"/>
          <w:szCs w:val="20"/>
          <w:lang w:eastAsia="en-GB"/>
        </w:rPr>
        <w:t xml:space="preserve"> </w:t>
      </w:r>
      <w:r w:rsidRPr="00F03B30" w:rsidR="00A26FD4">
        <w:rPr>
          <w:sz w:val="20"/>
          <w:szCs w:val="20"/>
          <w:lang w:eastAsia="en-GB"/>
        </w:rPr>
        <w:t>Causeway Rural &amp; Urban Network</w:t>
      </w:r>
    </w:p>
    <w:p w:rsidRPr="00F03B30" w:rsidR="00B407D0" w:rsidP="00F03B30" w:rsidRDefault="00B407D0" w14:paraId="496D8B59" w14:textId="7C6A8F0E">
      <w:pPr>
        <w:pStyle w:val="ListParagraph"/>
        <w:numPr>
          <w:ilvl w:val="0"/>
          <w:numId w:val="16"/>
        </w:numPr>
        <w:rPr>
          <w:sz w:val="20"/>
          <w:szCs w:val="20"/>
          <w:lang w:eastAsia="en-GB"/>
        </w:rPr>
      </w:pPr>
      <w:r w:rsidRPr="00F03B30">
        <w:rPr>
          <w:sz w:val="20"/>
          <w:szCs w:val="20"/>
          <w:lang w:eastAsia="en-GB"/>
        </w:rPr>
        <w:t>Belfast Healthy Cities</w:t>
      </w:r>
    </w:p>
    <w:p w:rsidRPr="00F03B30" w:rsidR="00B407D0" w:rsidP="00F03B30" w:rsidRDefault="00B407D0" w14:paraId="0A87A150" w14:textId="3AA90D0B">
      <w:pPr>
        <w:pStyle w:val="ListParagraph"/>
        <w:numPr>
          <w:ilvl w:val="0"/>
          <w:numId w:val="16"/>
        </w:numPr>
        <w:rPr>
          <w:sz w:val="20"/>
          <w:szCs w:val="20"/>
          <w:lang w:eastAsia="en-GB"/>
        </w:rPr>
      </w:pPr>
      <w:r w:rsidRPr="00F03B30">
        <w:rPr>
          <w:sz w:val="20"/>
          <w:szCs w:val="20"/>
          <w:lang w:eastAsia="en-GB"/>
        </w:rPr>
        <w:t xml:space="preserve">Rural </w:t>
      </w:r>
      <w:r w:rsidRPr="00F03B30" w:rsidR="00A26FD4">
        <w:rPr>
          <w:sz w:val="20"/>
          <w:szCs w:val="20"/>
          <w:lang w:eastAsia="en-GB"/>
        </w:rPr>
        <w:t>C</w:t>
      </w:r>
      <w:r w:rsidRPr="00F03B30">
        <w:rPr>
          <w:sz w:val="20"/>
          <w:szCs w:val="20"/>
          <w:lang w:eastAsia="en-GB"/>
        </w:rPr>
        <w:t>ommunity Network</w:t>
      </w:r>
    </w:p>
    <w:p w:rsidRPr="00F03B30" w:rsidR="00B407D0" w:rsidP="00F03B30" w:rsidRDefault="00B407D0" w14:paraId="10443496" w14:textId="31EF5307">
      <w:pPr>
        <w:pStyle w:val="ListParagraph"/>
        <w:numPr>
          <w:ilvl w:val="0"/>
          <w:numId w:val="16"/>
        </w:numPr>
        <w:rPr>
          <w:sz w:val="20"/>
          <w:szCs w:val="20"/>
          <w:lang w:eastAsia="en-GB"/>
        </w:rPr>
      </w:pPr>
      <w:r w:rsidRPr="00F03B30">
        <w:rPr>
          <w:sz w:val="20"/>
          <w:szCs w:val="20"/>
          <w:lang w:eastAsia="en-GB"/>
        </w:rPr>
        <w:t>East Belfast Community Development Agency (EBCDA</w:t>
      </w:r>
      <w:r w:rsidRPr="00F03B30" w:rsidR="00A26FD4">
        <w:rPr>
          <w:sz w:val="20"/>
          <w:szCs w:val="20"/>
          <w:lang w:eastAsia="en-GB"/>
        </w:rPr>
        <w:t>)</w:t>
      </w:r>
    </w:p>
    <w:p w:rsidRPr="00F03B30" w:rsidR="00B407D0" w:rsidP="00F03B30" w:rsidRDefault="00B407D0" w14:paraId="23A20CA6" w14:textId="20F2D9A9">
      <w:pPr>
        <w:pStyle w:val="ListParagraph"/>
        <w:numPr>
          <w:ilvl w:val="0"/>
          <w:numId w:val="16"/>
        </w:numPr>
        <w:rPr>
          <w:sz w:val="20"/>
          <w:szCs w:val="20"/>
          <w:lang w:eastAsia="en-GB"/>
        </w:rPr>
      </w:pPr>
      <w:r w:rsidRPr="00F03B30">
        <w:rPr>
          <w:sz w:val="20"/>
          <w:szCs w:val="20"/>
          <w:lang w:eastAsia="en-GB"/>
        </w:rPr>
        <w:t>Falls Community Council. Belfast AIPB</w:t>
      </w:r>
    </w:p>
    <w:p w:rsidRPr="00F03B30" w:rsidR="00B407D0" w:rsidP="00F03B30" w:rsidRDefault="00B407D0" w14:paraId="1ACC11F3" w14:textId="28A7B633">
      <w:pPr>
        <w:pStyle w:val="ListParagraph"/>
        <w:numPr>
          <w:ilvl w:val="0"/>
          <w:numId w:val="16"/>
        </w:numPr>
        <w:rPr>
          <w:sz w:val="20"/>
          <w:szCs w:val="20"/>
          <w:lang w:eastAsia="en-GB"/>
        </w:rPr>
      </w:pPr>
      <w:r w:rsidRPr="00F03B30">
        <w:rPr>
          <w:sz w:val="20"/>
          <w:szCs w:val="20"/>
          <w:lang w:eastAsia="en-GB"/>
        </w:rPr>
        <w:t>Diabetes UK Northern Ireland</w:t>
      </w:r>
    </w:p>
    <w:p w:rsidRPr="00F03B30" w:rsidR="00B407D0" w:rsidP="00F03B30" w:rsidRDefault="00B407D0" w14:paraId="21D9625C" w14:textId="0DA3E4AE">
      <w:pPr>
        <w:pStyle w:val="ListParagraph"/>
        <w:numPr>
          <w:ilvl w:val="0"/>
          <w:numId w:val="16"/>
        </w:numPr>
        <w:rPr>
          <w:sz w:val="20"/>
          <w:szCs w:val="20"/>
          <w:lang w:eastAsia="en-GB"/>
        </w:rPr>
      </w:pPr>
      <w:r w:rsidRPr="00F03B30">
        <w:rPr>
          <w:sz w:val="20"/>
          <w:szCs w:val="20"/>
          <w:lang w:eastAsia="en-GB"/>
        </w:rPr>
        <w:t>Shopmobility Belfast</w:t>
      </w:r>
    </w:p>
    <w:p w:rsidRPr="00F03B30" w:rsidR="00B407D0" w:rsidP="00F03B30" w:rsidRDefault="00B407D0" w14:paraId="2B9F170D" w14:textId="5CFC0367">
      <w:pPr>
        <w:pStyle w:val="ListParagraph"/>
        <w:numPr>
          <w:ilvl w:val="0"/>
          <w:numId w:val="16"/>
        </w:numPr>
        <w:rPr>
          <w:sz w:val="20"/>
          <w:szCs w:val="20"/>
          <w:lang w:eastAsia="en-GB"/>
        </w:rPr>
      </w:pPr>
      <w:r w:rsidRPr="00F03B30">
        <w:rPr>
          <w:sz w:val="20"/>
          <w:szCs w:val="20"/>
          <w:lang w:eastAsia="en-GB"/>
        </w:rPr>
        <w:t>anonymous</w:t>
      </w:r>
      <w:r w:rsidRPr="00F03B30">
        <w:rPr>
          <w:sz w:val="20"/>
          <w:szCs w:val="20"/>
          <w:lang w:eastAsia="en-GB"/>
        </w:rPr>
        <w:tab/>
      </w:r>
    </w:p>
    <w:p w:rsidRPr="00F03B30" w:rsidR="00B407D0" w:rsidP="00F03B30" w:rsidRDefault="00B407D0" w14:paraId="114406F9" w14:textId="24FE659C">
      <w:pPr>
        <w:pStyle w:val="ListParagraph"/>
        <w:numPr>
          <w:ilvl w:val="0"/>
          <w:numId w:val="16"/>
        </w:numPr>
        <w:rPr>
          <w:sz w:val="20"/>
          <w:szCs w:val="20"/>
          <w:lang w:eastAsia="en-GB"/>
        </w:rPr>
      </w:pPr>
      <w:r w:rsidRPr="00F03B30">
        <w:rPr>
          <w:sz w:val="20"/>
          <w:szCs w:val="20"/>
          <w:lang w:eastAsia="en-GB"/>
        </w:rPr>
        <w:t>COSTA Rural Support Network</w:t>
      </w:r>
    </w:p>
    <w:p w:rsidRPr="00F03B30" w:rsidR="00B407D0" w:rsidP="00F03B30" w:rsidRDefault="00B407D0" w14:paraId="79CC293D" w14:textId="0088C0F4">
      <w:pPr>
        <w:pStyle w:val="ListParagraph"/>
        <w:numPr>
          <w:ilvl w:val="0"/>
          <w:numId w:val="16"/>
        </w:numPr>
        <w:rPr>
          <w:sz w:val="20"/>
          <w:szCs w:val="20"/>
          <w:lang w:eastAsia="en-GB"/>
        </w:rPr>
      </w:pPr>
      <w:r w:rsidRPr="00F03B30">
        <w:rPr>
          <w:sz w:val="20"/>
          <w:szCs w:val="20"/>
          <w:lang w:eastAsia="en-GB"/>
        </w:rPr>
        <w:t>BHSCT</w:t>
      </w:r>
    </w:p>
    <w:p w:rsidRPr="00F03B30" w:rsidR="00B407D0" w:rsidP="00F03B30" w:rsidRDefault="00B407D0" w14:paraId="2C6E395C" w14:textId="20EB6A9B">
      <w:pPr>
        <w:pStyle w:val="ListParagraph"/>
        <w:numPr>
          <w:ilvl w:val="0"/>
          <w:numId w:val="16"/>
        </w:numPr>
        <w:rPr>
          <w:sz w:val="20"/>
          <w:szCs w:val="20"/>
          <w:lang w:eastAsia="en-GB"/>
        </w:rPr>
      </w:pPr>
      <w:r w:rsidRPr="00F03B30">
        <w:rPr>
          <w:sz w:val="20"/>
          <w:szCs w:val="20"/>
          <w:lang w:eastAsia="en-GB"/>
        </w:rPr>
        <w:t>An Creagán</w:t>
      </w:r>
    </w:p>
    <w:p w:rsidRPr="00F03B30" w:rsidR="00B407D0" w:rsidP="00F03B30" w:rsidRDefault="00B407D0" w14:paraId="1B9B557E" w14:textId="39E585B8">
      <w:pPr>
        <w:pStyle w:val="ListParagraph"/>
        <w:numPr>
          <w:ilvl w:val="0"/>
          <w:numId w:val="16"/>
        </w:numPr>
        <w:rPr>
          <w:sz w:val="20"/>
          <w:szCs w:val="20"/>
          <w:lang w:eastAsia="en-GB"/>
        </w:rPr>
      </w:pPr>
      <w:r w:rsidRPr="00F03B30">
        <w:rPr>
          <w:sz w:val="20"/>
          <w:szCs w:val="20"/>
          <w:lang w:eastAsia="en-GB"/>
        </w:rPr>
        <w:t>Stroke Association</w:t>
      </w:r>
    </w:p>
    <w:p w:rsidRPr="00F03B30" w:rsidR="00B407D0" w:rsidP="00F03B30" w:rsidRDefault="00B407D0" w14:paraId="312B78CC" w14:textId="28D7F1DC">
      <w:pPr>
        <w:pStyle w:val="ListParagraph"/>
        <w:numPr>
          <w:ilvl w:val="0"/>
          <w:numId w:val="16"/>
        </w:numPr>
        <w:rPr>
          <w:sz w:val="20"/>
          <w:szCs w:val="20"/>
          <w:lang w:eastAsia="en-GB"/>
        </w:rPr>
      </w:pPr>
      <w:r w:rsidRPr="00F03B30">
        <w:rPr>
          <w:sz w:val="20"/>
          <w:szCs w:val="20"/>
          <w:lang w:eastAsia="en-GB"/>
        </w:rPr>
        <w:t>Northern Ireland Chest Heart &amp; Stroke</w:t>
      </w:r>
    </w:p>
    <w:p w:rsidRPr="00F03B30" w:rsidR="00B407D0" w:rsidP="00F03B30" w:rsidRDefault="00B407D0" w14:paraId="6BC60286" w14:textId="0D8673A5">
      <w:pPr>
        <w:pStyle w:val="ListParagraph"/>
        <w:numPr>
          <w:ilvl w:val="0"/>
          <w:numId w:val="16"/>
        </w:numPr>
        <w:rPr>
          <w:sz w:val="20"/>
          <w:szCs w:val="20"/>
          <w:lang w:eastAsia="en-GB"/>
        </w:rPr>
      </w:pPr>
      <w:r w:rsidRPr="00F03B30">
        <w:rPr>
          <w:sz w:val="20"/>
          <w:szCs w:val="20"/>
          <w:lang w:eastAsia="en-GB"/>
        </w:rPr>
        <w:t>anonymous</w:t>
      </w:r>
      <w:r w:rsidRPr="00F03B30">
        <w:rPr>
          <w:sz w:val="20"/>
          <w:szCs w:val="20"/>
          <w:lang w:eastAsia="en-GB"/>
        </w:rPr>
        <w:tab/>
      </w:r>
    </w:p>
    <w:p w:rsidRPr="00F03B30" w:rsidR="00B407D0" w:rsidP="00F03B30" w:rsidRDefault="00B407D0" w14:paraId="265BB569" w14:textId="7F8A9E30">
      <w:pPr>
        <w:pStyle w:val="ListParagraph"/>
        <w:numPr>
          <w:ilvl w:val="0"/>
          <w:numId w:val="16"/>
        </w:numPr>
        <w:rPr>
          <w:sz w:val="20"/>
          <w:szCs w:val="20"/>
          <w:lang w:eastAsia="en-GB"/>
        </w:rPr>
      </w:pPr>
      <w:r w:rsidRPr="00F03B30">
        <w:rPr>
          <w:sz w:val="20"/>
          <w:szCs w:val="20"/>
          <w:lang w:eastAsia="en-GB"/>
        </w:rPr>
        <w:t>Centre for Cross Border Cooperation</w:t>
      </w:r>
    </w:p>
    <w:p w:rsidRPr="00F03B30" w:rsidR="00B407D0" w:rsidP="00F03B30" w:rsidRDefault="00B407D0" w14:paraId="274B31D2" w14:textId="08472B51">
      <w:pPr>
        <w:pStyle w:val="ListParagraph"/>
        <w:numPr>
          <w:ilvl w:val="0"/>
          <w:numId w:val="16"/>
        </w:numPr>
        <w:rPr>
          <w:sz w:val="20"/>
          <w:szCs w:val="20"/>
          <w:lang w:eastAsia="en-GB"/>
        </w:rPr>
      </w:pPr>
      <w:r w:rsidRPr="00F03B30">
        <w:rPr>
          <w:sz w:val="20"/>
          <w:szCs w:val="20"/>
          <w:lang w:eastAsia="en-GB"/>
        </w:rPr>
        <w:t>Holywood Men's Shed</w:t>
      </w:r>
    </w:p>
    <w:p w:rsidRPr="00F03B30" w:rsidR="00B407D0" w:rsidP="00F03B30" w:rsidRDefault="00B407D0" w14:paraId="0AC3135E" w14:textId="34AF1B0F">
      <w:pPr>
        <w:pStyle w:val="ListParagraph"/>
        <w:numPr>
          <w:ilvl w:val="0"/>
          <w:numId w:val="16"/>
        </w:numPr>
        <w:rPr>
          <w:sz w:val="20"/>
          <w:szCs w:val="20"/>
          <w:lang w:eastAsia="en-GB"/>
        </w:rPr>
      </w:pPr>
      <w:r w:rsidRPr="00F03B30">
        <w:rPr>
          <w:sz w:val="20"/>
          <w:szCs w:val="20"/>
          <w:lang w:eastAsia="en-GB"/>
        </w:rPr>
        <w:t>CAN</w:t>
      </w:r>
    </w:p>
    <w:p w:rsidRPr="00F03B30" w:rsidR="00B407D0" w:rsidP="00F03B30" w:rsidRDefault="00B407D0" w14:paraId="78CABAF6" w14:textId="3DC15A7A">
      <w:pPr>
        <w:pStyle w:val="ListParagraph"/>
        <w:numPr>
          <w:ilvl w:val="0"/>
          <w:numId w:val="16"/>
        </w:numPr>
        <w:rPr>
          <w:sz w:val="20"/>
          <w:szCs w:val="20"/>
          <w:lang w:eastAsia="en-GB"/>
        </w:rPr>
      </w:pPr>
      <w:r w:rsidRPr="00F03B30">
        <w:rPr>
          <w:sz w:val="20"/>
          <w:szCs w:val="20"/>
          <w:lang w:eastAsia="en-GB"/>
        </w:rPr>
        <w:t>British Red Cross</w:t>
      </w:r>
    </w:p>
    <w:p w:rsidRPr="00F03B30" w:rsidR="00B407D0" w:rsidP="00F03B30" w:rsidRDefault="00B407D0" w14:paraId="147369F4" w14:textId="7D349FE8">
      <w:pPr>
        <w:pStyle w:val="ListParagraph"/>
        <w:numPr>
          <w:ilvl w:val="0"/>
          <w:numId w:val="16"/>
        </w:numPr>
        <w:rPr>
          <w:sz w:val="20"/>
          <w:szCs w:val="20"/>
          <w:lang w:eastAsia="en-GB"/>
        </w:rPr>
      </w:pPr>
      <w:r w:rsidRPr="00F03B30">
        <w:rPr>
          <w:sz w:val="20"/>
          <w:szCs w:val="20"/>
          <w:lang w:eastAsia="en-GB"/>
        </w:rPr>
        <w:t>White City Community Association</w:t>
      </w:r>
    </w:p>
    <w:p w:rsidRPr="00F03B30" w:rsidR="00B407D0" w:rsidP="00F03B30" w:rsidRDefault="00B407D0" w14:paraId="2AB46F69" w14:textId="24757C07">
      <w:pPr>
        <w:pStyle w:val="ListParagraph"/>
        <w:numPr>
          <w:ilvl w:val="0"/>
          <w:numId w:val="16"/>
        </w:numPr>
        <w:rPr>
          <w:sz w:val="20"/>
          <w:szCs w:val="20"/>
          <w:lang w:eastAsia="en-GB"/>
        </w:rPr>
      </w:pPr>
      <w:r w:rsidRPr="00F03B30">
        <w:rPr>
          <w:sz w:val="20"/>
          <w:szCs w:val="20"/>
          <w:lang w:eastAsia="en-GB"/>
        </w:rPr>
        <w:t>Cause Carers</w:t>
      </w:r>
    </w:p>
    <w:p w:rsidRPr="00F03B30" w:rsidR="00B407D0" w:rsidP="00F03B30" w:rsidRDefault="00B407D0" w14:paraId="6722EAB4" w14:textId="416AE5AD">
      <w:pPr>
        <w:pStyle w:val="ListParagraph"/>
        <w:numPr>
          <w:ilvl w:val="0"/>
          <w:numId w:val="16"/>
        </w:numPr>
        <w:rPr>
          <w:sz w:val="20"/>
          <w:szCs w:val="20"/>
          <w:lang w:eastAsia="en-GB"/>
        </w:rPr>
      </w:pPr>
      <w:r w:rsidRPr="00F03B30">
        <w:rPr>
          <w:sz w:val="20"/>
          <w:szCs w:val="20"/>
          <w:lang w:eastAsia="en-GB"/>
        </w:rPr>
        <w:t>Developing Healthy Communities</w:t>
      </w:r>
    </w:p>
    <w:p w:rsidRPr="00F03B30" w:rsidR="00B407D0" w:rsidP="00F03B30" w:rsidRDefault="00B407D0" w14:paraId="4192FA3F" w14:textId="062A73A6">
      <w:pPr>
        <w:pStyle w:val="ListParagraph"/>
        <w:numPr>
          <w:ilvl w:val="0"/>
          <w:numId w:val="16"/>
        </w:numPr>
        <w:rPr>
          <w:sz w:val="20"/>
          <w:szCs w:val="20"/>
          <w:lang w:eastAsia="en-GB"/>
        </w:rPr>
      </w:pPr>
      <w:r w:rsidRPr="00F03B30">
        <w:rPr>
          <w:sz w:val="20"/>
          <w:szCs w:val="20"/>
          <w:lang w:eastAsia="en-GB"/>
        </w:rPr>
        <w:t>anonymous</w:t>
      </w:r>
      <w:r w:rsidRPr="00F03B30">
        <w:rPr>
          <w:sz w:val="20"/>
          <w:szCs w:val="20"/>
          <w:lang w:eastAsia="en-GB"/>
        </w:rPr>
        <w:tab/>
      </w:r>
    </w:p>
    <w:p w:rsidRPr="00F03B30" w:rsidR="00B407D0" w:rsidP="00F03B30" w:rsidRDefault="00B407D0" w14:paraId="3E970A38" w14:textId="61BD763B">
      <w:pPr>
        <w:pStyle w:val="ListParagraph"/>
        <w:numPr>
          <w:ilvl w:val="0"/>
          <w:numId w:val="16"/>
        </w:numPr>
        <w:rPr>
          <w:sz w:val="20"/>
          <w:szCs w:val="20"/>
          <w:lang w:eastAsia="en-GB"/>
        </w:rPr>
      </w:pPr>
      <w:r w:rsidRPr="00F03B30">
        <w:rPr>
          <w:sz w:val="20"/>
          <w:szCs w:val="20"/>
          <w:lang w:eastAsia="en-GB"/>
        </w:rPr>
        <w:t>Let's Do Veterans Support &amp; Rehabilitation</w:t>
      </w:r>
    </w:p>
    <w:p w:rsidRPr="00F03B30" w:rsidR="00B407D0" w:rsidP="00F03B30" w:rsidRDefault="00B407D0" w14:paraId="436FDD30" w14:textId="6DC96E27">
      <w:pPr>
        <w:pStyle w:val="ListParagraph"/>
        <w:numPr>
          <w:ilvl w:val="0"/>
          <w:numId w:val="16"/>
        </w:numPr>
        <w:rPr>
          <w:sz w:val="20"/>
          <w:szCs w:val="20"/>
          <w:lang w:eastAsia="en-GB"/>
        </w:rPr>
      </w:pPr>
      <w:r w:rsidRPr="00F03B30">
        <w:rPr>
          <w:sz w:val="20"/>
          <w:szCs w:val="20"/>
          <w:lang w:eastAsia="en-GB"/>
        </w:rPr>
        <w:t>CDHN</w:t>
      </w:r>
    </w:p>
    <w:p w:rsidRPr="00F03B30" w:rsidR="00351327" w:rsidP="00F03B30" w:rsidRDefault="00B407D0" w14:paraId="767B14AF" w14:textId="1B9E806C">
      <w:pPr>
        <w:pStyle w:val="ListParagraph"/>
        <w:numPr>
          <w:ilvl w:val="0"/>
          <w:numId w:val="16"/>
        </w:numPr>
        <w:rPr>
          <w:sz w:val="20"/>
          <w:szCs w:val="20"/>
          <w:lang w:eastAsia="en-GB"/>
        </w:rPr>
      </w:pPr>
      <w:r w:rsidRPr="00F03B30">
        <w:rPr>
          <w:sz w:val="20"/>
          <w:szCs w:val="20"/>
          <w:lang w:eastAsia="en-GB"/>
        </w:rPr>
        <w:t>Age NI</w:t>
      </w:r>
    </w:p>
    <w:p w:rsidRPr="00F03B30" w:rsidR="007C09C5" w:rsidP="00F03B30" w:rsidRDefault="00DE6FBC" w14:paraId="050DB7BE" w14:textId="3D27AB78">
      <w:pPr>
        <w:pStyle w:val="ListParagraph"/>
        <w:numPr>
          <w:ilvl w:val="0"/>
          <w:numId w:val="16"/>
        </w:numPr>
        <w:rPr>
          <w:sz w:val="20"/>
          <w:szCs w:val="20"/>
          <w:lang w:eastAsia="en-GB"/>
        </w:rPr>
      </w:pPr>
      <w:r w:rsidRPr="00F03B30">
        <w:rPr>
          <w:sz w:val="20"/>
          <w:szCs w:val="20"/>
          <w:lang w:eastAsia="en-GB"/>
        </w:rPr>
        <w:t xml:space="preserve">Visual </w:t>
      </w:r>
      <w:r w:rsidRPr="00F03B30" w:rsidR="00E57936">
        <w:rPr>
          <w:sz w:val="20"/>
          <w:szCs w:val="20"/>
          <w:lang w:eastAsia="en-GB"/>
        </w:rPr>
        <w:t xml:space="preserve">Impairment Sector Consultative Forum </w:t>
      </w:r>
    </w:p>
    <w:p w:rsidRPr="00F03B30" w:rsidR="00F03B30" w:rsidP="00F03B30" w:rsidRDefault="00B2190E" w14:paraId="5C3D32AC" w14:textId="5D64F43C">
      <w:pPr>
        <w:pStyle w:val="ListParagraph"/>
        <w:numPr>
          <w:ilvl w:val="0"/>
          <w:numId w:val="16"/>
        </w:numPr>
        <w:rPr>
          <w:sz w:val="20"/>
          <w:szCs w:val="20"/>
          <w:lang w:eastAsia="en-GB"/>
        </w:rPr>
      </w:pPr>
      <w:r w:rsidRPr="00F03B30">
        <w:rPr>
          <w:sz w:val="20"/>
          <w:szCs w:val="20"/>
          <w:lang w:eastAsia="en-GB"/>
        </w:rPr>
        <w:t>Fermanagh RCN</w:t>
      </w:r>
    </w:p>
    <w:p w:rsidRPr="00F03B30" w:rsidR="00A26FD4" w:rsidP="00F03B30" w:rsidRDefault="00A26FD4" w14:paraId="075B87C7" w14:textId="36970F92">
      <w:pPr>
        <w:pStyle w:val="ListParagraph"/>
        <w:numPr>
          <w:ilvl w:val="0"/>
          <w:numId w:val="16"/>
        </w:numPr>
        <w:rPr>
          <w:sz w:val="20"/>
          <w:szCs w:val="20"/>
          <w:lang w:eastAsia="en-GB"/>
        </w:rPr>
      </w:pPr>
      <w:r w:rsidRPr="00F03B30">
        <w:rPr>
          <w:sz w:val="20"/>
          <w:szCs w:val="20"/>
          <w:lang w:eastAsia="en-GB"/>
        </w:rPr>
        <w:t xml:space="preserve">Healthy Living Centre Alliance </w:t>
      </w:r>
    </w:p>
    <w:p w:rsidRPr="00F03B30" w:rsidR="0034605E" w:rsidP="00F03B30" w:rsidRDefault="0034605E" w14:paraId="7851F859" w14:textId="3E9DFCE4">
      <w:pPr>
        <w:pStyle w:val="ListParagraph"/>
        <w:numPr>
          <w:ilvl w:val="0"/>
          <w:numId w:val="16"/>
        </w:numPr>
        <w:rPr>
          <w:sz w:val="20"/>
          <w:szCs w:val="20"/>
          <w:lang w:eastAsia="en-GB"/>
        </w:rPr>
      </w:pPr>
      <w:r w:rsidRPr="00F03B30">
        <w:rPr>
          <w:sz w:val="20"/>
          <w:szCs w:val="20"/>
          <w:lang w:eastAsia="en-GB"/>
        </w:rPr>
        <w:t>Volunteer Now</w:t>
      </w:r>
    </w:p>
    <w:p w:rsidRPr="00F03B30" w:rsidR="0034605E" w:rsidP="00F03B30" w:rsidRDefault="0034605E" w14:paraId="48F4EA41" w14:textId="18B2079D">
      <w:pPr>
        <w:pStyle w:val="ListParagraph"/>
        <w:numPr>
          <w:ilvl w:val="0"/>
          <w:numId w:val="16"/>
        </w:numPr>
        <w:rPr>
          <w:sz w:val="20"/>
          <w:szCs w:val="20"/>
          <w:lang w:eastAsia="en-GB"/>
        </w:rPr>
      </w:pPr>
      <w:r w:rsidRPr="00F03B30">
        <w:rPr>
          <w:sz w:val="20"/>
          <w:szCs w:val="20"/>
          <w:lang w:eastAsia="en-GB"/>
        </w:rPr>
        <w:t>Millenium Court</w:t>
      </w:r>
    </w:p>
    <w:p w:rsidRPr="00F03B30" w:rsidR="0034605E" w:rsidP="00F03B30" w:rsidRDefault="0034605E" w14:paraId="67A05CB4" w14:textId="45D0784A">
      <w:pPr>
        <w:pStyle w:val="ListParagraph"/>
        <w:numPr>
          <w:ilvl w:val="0"/>
          <w:numId w:val="16"/>
        </w:numPr>
        <w:rPr>
          <w:sz w:val="20"/>
          <w:szCs w:val="20"/>
          <w:lang w:eastAsia="en-GB"/>
        </w:rPr>
      </w:pPr>
      <w:r w:rsidRPr="00F03B30">
        <w:rPr>
          <w:sz w:val="20"/>
          <w:szCs w:val="20"/>
          <w:lang w:eastAsia="en-GB"/>
        </w:rPr>
        <w:t>Action Mental Health</w:t>
      </w:r>
    </w:p>
    <w:p w:rsidRPr="00F03B30" w:rsidR="0034605E" w:rsidP="00F03B30" w:rsidRDefault="00C82292" w14:paraId="401D45C3" w14:textId="6C70AF74">
      <w:pPr>
        <w:pStyle w:val="ListParagraph"/>
        <w:numPr>
          <w:ilvl w:val="0"/>
          <w:numId w:val="16"/>
        </w:numPr>
        <w:rPr>
          <w:sz w:val="20"/>
          <w:szCs w:val="20"/>
          <w:lang w:eastAsia="en-GB"/>
        </w:rPr>
      </w:pPr>
      <w:r w:rsidRPr="00F03B30">
        <w:rPr>
          <w:sz w:val="20"/>
          <w:szCs w:val="20"/>
          <w:lang w:eastAsia="en-GB"/>
        </w:rPr>
        <w:t>CWSAN</w:t>
      </w:r>
    </w:p>
    <w:p w:rsidRPr="00F03B30" w:rsidR="00C82292" w:rsidP="00F03B30" w:rsidRDefault="00C82292" w14:paraId="5C8777B8" w14:textId="073D5CDC">
      <w:pPr>
        <w:pStyle w:val="ListParagraph"/>
        <w:numPr>
          <w:ilvl w:val="0"/>
          <w:numId w:val="16"/>
        </w:numPr>
        <w:rPr>
          <w:sz w:val="20"/>
          <w:szCs w:val="20"/>
          <w:lang w:eastAsia="en-GB"/>
        </w:rPr>
      </w:pPr>
      <w:r w:rsidRPr="00F03B30">
        <w:rPr>
          <w:sz w:val="20"/>
          <w:szCs w:val="20"/>
          <w:lang w:eastAsia="en-GB"/>
        </w:rPr>
        <w:t xml:space="preserve">Omagh Forum </w:t>
      </w:r>
    </w:p>
    <w:p w:rsidRPr="00F03B30" w:rsidR="00C82292" w:rsidP="00F03B30" w:rsidRDefault="00C82292" w14:paraId="62F4CCCD" w14:textId="4F8269C0">
      <w:pPr>
        <w:pStyle w:val="ListParagraph"/>
        <w:numPr>
          <w:ilvl w:val="0"/>
          <w:numId w:val="16"/>
        </w:numPr>
        <w:rPr>
          <w:sz w:val="20"/>
          <w:szCs w:val="20"/>
          <w:lang w:eastAsia="en-GB"/>
        </w:rPr>
      </w:pPr>
      <w:r w:rsidRPr="00F03B30">
        <w:rPr>
          <w:sz w:val="20"/>
          <w:szCs w:val="20"/>
          <w:lang w:eastAsia="en-GB"/>
        </w:rPr>
        <w:t>Clanrye Group</w:t>
      </w:r>
    </w:p>
    <w:p w:rsidRPr="00F03B30" w:rsidR="00C82292" w:rsidP="00F03B30" w:rsidRDefault="008B5D7E" w14:paraId="320DAECE" w14:textId="03E08BD7">
      <w:pPr>
        <w:pStyle w:val="ListParagraph"/>
        <w:numPr>
          <w:ilvl w:val="0"/>
          <w:numId w:val="16"/>
        </w:numPr>
        <w:rPr>
          <w:sz w:val="20"/>
          <w:szCs w:val="20"/>
          <w:lang w:eastAsia="en-GB"/>
        </w:rPr>
      </w:pPr>
      <w:r w:rsidRPr="00F03B30">
        <w:rPr>
          <w:sz w:val="20"/>
          <w:szCs w:val="20"/>
          <w:lang w:eastAsia="en-GB"/>
        </w:rPr>
        <w:t>Health for Life</w:t>
      </w:r>
    </w:p>
    <w:p w:rsidRPr="00F03B30" w:rsidR="008B5D7E" w:rsidP="00F03B30" w:rsidRDefault="00216B0C" w14:paraId="2DF79425" w14:textId="00AC165F">
      <w:pPr>
        <w:pStyle w:val="ListParagraph"/>
        <w:numPr>
          <w:ilvl w:val="0"/>
          <w:numId w:val="16"/>
        </w:numPr>
        <w:rPr>
          <w:sz w:val="20"/>
          <w:szCs w:val="20"/>
          <w:lang w:eastAsia="en-GB"/>
        </w:rPr>
      </w:pPr>
      <w:r w:rsidRPr="00F03B30">
        <w:rPr>
          <w:sz w:val="20"/>
          <w:szCs w:val="20"/>
          <w:lang w:eastAsia="en-GB"/>
        </w:rPr>
        <w:t>NI Hospice</w:t>
      </w:r>
    </w:p>
    <w:p w:rsidRPr="00F03B30" w:rsidR="00216B0C" w:rsidP="00F03B30" w:rsidRDefault="00216B0C" w14:paraId="7243A3E6" w14:textId="4C38DF7F">
      <w:pPr>
        <w:pStyle w:val="ListParagraph"/>
        <w:numPr>
          <w:ilvl w:val="0"/>
          <w:numId w:val="16"/>
        </w:numPr>
        <w:rPr>
          <w:sz w:val="20"/>
          <w:szCs w:val="20"/>
          <w:lang w:eastAsia="en-GB"/>
        </w:rPr>
      </w:pPr>
      <w:r w:rsidRPr="00F03B30">
        <w:rPr>
          <w:sz w:val="20"/>
          <w:szCs w:val="20"/>
          <w:lang w:eastAsia="en-GB"/>
        </w:rPr>
        <w:t>Evora Hospice</w:t>
      </w:r>
    </w:p>
    <w:p w:rsidRPr="00F03B30" w:rsidR="002574B4" w:rsidP="00F03B30" w:rsidRDefault="002574B4" w14:paraId="7F31792A" w14:textId="7759DEF1">
      <w:pPr>
        <w:pStyle w:val="ListParagraph"/>
        <w:numPr>
          <w:ilvl w:val="0"/>
          <w:numId w:val="16"/>
        </w:numPr>
        <w:rPr>
          <w:sz w:val="20"/>
          <w:szCs w:val="20"/>
          <w:lang w:eastAsia="en-GB"/>
        </w:rPr>
      </w:pPr>
      <w:r w:rsidRPr="00F03B30">
        <w:rPr>
          <w:sz w:val="20"/>
          <w:szCs w:val="20"/>
          <w:lang w:eastAsia="en-GB"/>
        </w:rPr>
        <w:t>Parkinsons UK</w:t>
      </w:r>
    </w:p>
    <w:p w:rsidRPr="00F03B30" w:rsidR="002574B4" w:rsidP="00F03B30" w:rsidRDefault="002574B4" w14:paraId="58DA4655" w14:textId="164E9BB1">
      <w:pPr>
        <w:pStyle w:val="ListParagraph"/>
        <w:numPr>
          <w:ilvl w:val="0"/>
          <w:numId w:val="16"/>
        </w:numPr>
        <w:rPr>
          <w:sz w:val="20"/>
          <w:szCs w:val="20"/>
          <w:lang w:eastAsia="en-GB"/>
        </w:rPr>
      </w:pPr>
      <w:r w:rsidRPr="00F03B30">
        <w:rPr>
          <w:sz w:val="20"/>
          <w:szCs w:val="20"/>
          <w:lang w:eastAsia="en-GB"/>
        </w:rPr>
        <w:t>Cedar Foundation</w:t>
      </w:r>
    </w:p>
    <w:p w:rsidRPr="00F03B30" w:rsidR="003D76DF" w:rsidP="00F03B30" w:rsidRDefault="003D76DF" w14:paraId="0352B8DE" w14:textId="1F20A9B4">
      <w:pPr>
        <w:pStyle w:val="ListParagraph"/>
        <w:numPr>
          <w:ilvl w:val="0"/>
          <w:numId w:val="16"/>
        </w:numPr>
        <w:rPr>
          <w:sz w:val="20"/>
          <w:szCs w:val="20"/>
          <w:lang w:eastAsia="en-GB"/>
        </w:rPr>
      </w:pPr>
      <w:r w:rsidRPr="00F03B30">
        <w:rPr>
          <w:sz w:val="20"/>
          <w:szCs w:val="20"/>
          <w:lang w:eastAsia="en-GB"/>
        </w:rPr>
        <w:t>Reach Out NI</w:t>
      </w:r>
    </w:p>
    <w:p w:rsidR="003D76DF" w:rsidP="00F03B30" w:rsidRDefault="00775C5A" w14:paraId="006F647D" w14:textId="5F1A53D7">
      <w:pPr>
        <w:pStyle w:val="ListParagraph"/>
        <w:numPr>
          <w:ilvl w:val="0"/>
          <w:numId w:val="16"/>
        </w:numPr>
        <w:rPr>
          <w:sz w:val="20"/>
          <w:szCs w:val="20"/>
          <w:lang w:eastAsia="en-GB"/>
        </w:rPr>
      </w:pPr>
      <w:r w:rsidRPr="00F03B30">
        <w:rPr>
          <w:sz w:val="20"/>
          <w:szCs w:val="20"/>
          <w:lang w:eastAsia="en-GB"/>
        </w:rPr>
        <w:t xml:space="preserve">Asthma and Lung UK </w:t>
      </w:r>
    </w:p>
    <w:p w:rsidRPr="00813C6B" w:rsidR="00813C6B" w:rsidP="00813C6B" w:rsidRDefault="00813C6B" w14:paraId="5EC8AC98" w14:textId="1AE22051">
      <w:pPr>
        <w:rPr>
          <w:sz w:val="20"/>
          <w:szCs w:val="20"/>
          <w:lang w:eastAsia="en-GB"/>
        </w:rPr>
      </w:pPr>
    </w:p>
    <w:p w:rsidR="00F03B30" w:rsidP="00B407D0" w:rsidRDefault="00F03B30" w14:paraId="51E48FB3" w14:textId="77777777">
      <w:pPr>
        <w:rPr>
          <w:lang w:eastAsia="en-GB"/>
        </w:rPr>
        <w:sectPr w:rsidR="00F03B30" w:rsidSect="00F03B30">
          <w:type w:val="continuous"/>
          <w:pgSz w:w="11906" w:h="16838" w:orient="portrait"/>
          <w:pgMar w:top="1440" w:right="1440" w:bottom="1440" w:left="1440" w:header="708" w:footer="708" w:gutter="0"/>
          <w:cols w:space="708" w:num="2"/>
          <w:docGrid w:linePitch="360"/>
        </w:sectPr>
      </w:pPr>
    </w:p>
    <w:p w:rsidR="002574B4" w:rsidP="00B407D0" w:rsidRDefault="002574B4" w14:paraId="7DD2F745" w14:textId="77777777">
      <w:pPr>
        <w:rPr>
          <w:lang w:eastAsia="en-GB"/>
        </w:rPr>
      </w:pPr>
    </w:p>
    <w:p w:rsidR="00216B0C" w:rsidP="00B407D0" w:rsidRDefault="00216B0C" w14:paraId="65B0F0EC" w14:textId="77777777">
      <w:pPr>
        <w:rPr>
          <w:lang w:eastAsia="en-GB"/>
        </w:rPr>
      </w:pPr>
    </w:p>
    <w:p w:rsidR="00250EDF" w:rsidP="00B407D0" w:rsidRDefault="00250EDF" w14:paraId="02F7CB87" w14:textId="07C192DA">
      <w:pPr>
        <w:rPr>
          <w:lang w:eastAsia="en-GB"/>
        </w:rPr>
      </w:pPr>
    </w:p>
    <w:p w:rsidR="00B2190E" w:rsidP="00B407D0" w:rsidRDefault="00B2190E" w14:paraId="7A95D3F7" w14:textId="77777777">
      <w:pPr>
        <w:rPr>
          <w:lang w:eastAsia="en-GB"/>
        </w:rPr>
      </w:pPr>
    </w:p>
    <w:p w:rsidR="00351327" w:rsidRDefault="00351327" w14:paraId="1CBCBC3B" w14:textId="77777777">
      <w:pPr>
        <w:rPr>
          <w:lang w:eastAsia="en-GB"/>
        </w:rPr>
      </w:pPr>
    </w:p>
    <w:p w:rsidR="00B407D0" w:rsidRDefault="00B407D0" w14:paraId="61F04501" w14:textId="77777777">
      <w:pPr>
        <w:rPr>
          <w:lang w:eastAsia="en-GB"/>
        </w:rPr>
      </w:pPr>
    </w:p>
    <w:p w:rsidR="00E516F3" w:rsidRDefault="00E516F3" w14:paraId="02528763" w14:textId="366D6844"/>
    <w:sectPr w:rsidR="00E516F3" w:rsidSect="00F03B30">
      <w:type w:val="continuous"/>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6672" w:rsidP="00C25143" w:rsidRDefault="00146672" w14:paraId="6A41BF80" w14:textId="77777777">
      <w:pPr>
        <w:spacing w:after="0" w:line="240" w:lineRule="auto"/>
      </w:pPr>
      <w:r>
        <w:separator/>
      </w:r>
    </w:p>
  </w:endnote>
  <w:endnote w:type="continuationSeparator" w:id="0">
    <w:p w:rsidR="00146672" w:rsidP="00C25143" w:rsidRDefault="00146672" w14:paraId="330CB20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260" w:rsidRDefault="00935260" w14:paraId="40C6F47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20170"/>
      <w:docPartObj>
        <w:docPartGallery w:val="Page Numbers (Bottom of Page)"/>
        <w:docPartUnique/>
      </w:docPartObj>
    </w:sdtPr>
    <w:sdtEndPr>
      <w:rPr>
        <w:color w:val="7F7F7F" w:themeColor="background1" w:themeShade="7F"/>
        <w:spacing w:val="60"/>
      </w:rPr>
    </w:sdtEndPr>
    <w:sdtContent>
      <w:p w:rsidR="00C25143" w:rsidRDefault="00C25143" w14:paraId="5FD77A2C" w14:textId="2179BF84">
        <w:pPr>
          <w:pStyle w:val="Footer"/>
          <w:pBdr>
            <w:top w:val="single" w:color="D9D9D9" w:themeColor="background1" w:themeShade="D9" w:sz="4" w:space="1"/>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Page</w:t>
        </w:r>
      </w:p>
    </w:sdtContent>
  </w:sdt>
  <w:p w:rsidR="00C25143" w:rsidRDefault="00C25143" w14:paraId="29FE6B9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260" w:rsidRDefault="00935260" w14:paraId="39CA91B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6672" w:rsidP="00C25143" w:rsidRDefault="00146672" w14:paraId="7C5BB9F4" w14:textId="77777777">
      <w:pPr>
        <w:spacing w:after="0" w:line="240" w:lineRule="auto"/>
      </w:pPr>
      <w:r>
        <w:separator/>
      </w:r>
    </w:p>
  </w:footnote>
  <w:footnote w:type="continuationSeparator" w:id="0">
    <w:p w:rsidR="00146672" w:rsidP="00C25143" w:rsidRDefault="00146672" w14:paraId="3BBFEEDA" w14:textId="77777777">
      <w:pPr>
        <w:spacing w:after="0" w:line="240" w:lineRule="auto"/>
      </w:pPr>
      <w:r>
        <w:continuationSeparator/>
      </w:r>
    </w:p>
  </w:footnote>
  <w:footnote w:id="1">
    <w:p w:rsidRPr="000706D2" w:rsidR="000706D2" w:rsidRDefault="000706D2" w14:paraId="29633CB0" w14:textId="452C29F3">
      <w:pPr>
        <w:pStyle w:val="FootnoteText"/>
        <w:rPr>
          <w:lang w:val="en-US"/>
        </w:rPr>
      </w:pPr>
      <w:r>
        <w:rPr>
          <w:rStyle w:val="FootnoteReference"/>
        </w:rPr>
        <w:footnoteRef/>
      </w:r>
      <w:r>
        <w:t>Enhanced Anchor – costed as a funding envelope</w:t>
      </w:r>
      <w:r w:rsidR="00C93B49">
        <w:t>, includes Anchor role + financial envelope.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260" w:rsidRDefault="00000000" w14:paraId="4E79120C" w14:textId="1D1B61BA">
    <w:pPr>
      <w:pStyle w:val="Header"/>
    </w:pPr>
    <w:r>
      <w:rPr>
        <w:noProof/>
      </w:rPr>
      <w:pict w14:anchorId="70558D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style="position:absolute;margin-left:0;margin-top:0;width:583.25pt;height:53pt;rotation:315;z-index:-251658239;mso-position-horizontal:center;mso-position-horizontal-relative:margin;mso-position-vertical:center;mso-position-vertical-relative:margin" o:allowincell="f" fillcolor="silver" stroked="f" type="#_x0000_t136">
          <v:fill opacity=".5"/>
          <v:textpath style="font-family:&quot;Arial&quot;;font-size:1pt" string="DRAFT FOR DISCUS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0223D" w:rsidR="00935260" w:rsidP="00F0223D" w:rsidRDefault="00000000" w14:paraId="0C0A47AF" w14:textId="712A6A71">
    <w:pPr>
      <w:rPr>
        <w:b/>
        <w:bCs/>
        <w:color w:val="1F4E79"/>
      </w:rPr>
    </w:pPr>
    <w:r>
      <w:rPr>
        <w:noProof/>
      </w:rPr>
      <w:pict w14:anchorId="66D414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style="position:absolute;margin-left:0;margin-top:0;width:583.25pt;height:53pt;rotation:315;z-index:-251658238;mso-position-horizontal:center;mso-position-horizontal-relative:margin;mso-position-vertical:center;mso-position-vertical-relative:margin" o:allowincell="f" fillcolor="silver" stroked="f" type="#_x0000_t136">
          <v:fill opacity=".5"/>
          <v:textpath style="font-family:&quot;Arial&quot;;font-size:1pt" string="DRAFT FOR DISCUSSION"/>
          <w10:wrap anchorx="margin" anchory="margin"/>
        </v:shape>
      </w:pict>
    </w:r>
    <w:r w:rsidR="00F0223D">
      <w:rPr>
        <w:b/>
        <w:bCs/>
        <w:color w:val="1F4E79"/>
      </w:rPr>
      <w:tab/>
    </w:r>
    <w:r w:rsidR="00F0223D">
      <w:rPr>
        <w:b/>
        <w:bCs/>
        <w:color w:val="1F4E79"/>
      </w:rPr>
      <w:tab/>
    </w:r>
    <w:r w:rsidR="00F0223D">
      <w:rPr>
        <w:b/>
        <w:bCs/>
        <w:color w:val="1F4E79"/>
      </w:rPr>
      <w:tab/>
    </w:r>
    <w:r w:rsidR="00F0223D">
      <w:rPr>
        <w:b/>
        <w:bCs/>
        <w:color w:val="1F4E79"/>
      </w:rPr>
      <w:tab/>
    </w:r>
    <w:r w:rsidR="00F0223D">
      <w:rPr>
        <w:b/>
        <w:bCs/>
        <w:color w:val="1F4E79"/>
      </w:rPr>
      <w:tab/>
    </w:r>
    <w:r w:rsidR="00F0223D">
      <w:rPr>
        <w:b/>
        <w:bCs/>
        <w:color w:val="1F4E79"/>
      </w:rPr>
      <w:tab/>
    </w:r>
    <w:r w:rsidR="00F0223D">
      <w:rPr>
        <w:b/>
        <w:bCs/>
        <w:color w:val="1F4E79"/>
      </w:rPr>
      <w:tab/>
    </w:r>
    <w:r w:rsidR="00F0223D">
      <w:rPr>
        <w:b/>
        <w:bCs/>
        <w:color w:val="1F4E79"/>
      </w:rPr>
      <w:t xml:space="preserve">          </w:t>
    </w:r>
    <w:r w:rsidR="00F0223D">
      <w:rPr>
        <w:b/>
        <w:bCs/>
        <w:color w:val="1F4E79"/>
      </w:rPr>
      <w:tab/>
    </w:r>
    <w:r w:rsidR="00F0223D">
      <w:rPr>
        <w:b/>
        <w:bCs/>
        <w:noProof/>
        <w:color w:val="1F4E79"/>
      </w:rPr>
      <w:drawing>
        <wp:inline distT="0" distB="0" distL="0" distR="0" wp14:anchorId="6239B220" wp14:editId="0B12544C">
          <wp:extent cx="1866900" cy="584200"/>
          <wp:effectExtent l="0" t="0" r="0" b="6350"/>
          <wp:docPr id="239291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91565" name="Picture 239291565"/>
                  <pic:cNvPicPr/>
                </pic:nvPicPr>
                <pic:blipFill>
                  <a:blip r:embed="rId1">
                    <a:extLst>
                      <a:ext uri="{28A0092B-C50C-407E-A947-70E740481C1C}">
                        <a14:useLocalDpi xmlns:a14="http://schemas.microsoft.com/office/drawing/2010/main" val="0"/>
                      </a:ext>
                    </a:extLst>
                  </a:blip>
                  <a:stretch>
                    <a:fillRect/>
                  </a:stretch>
                </pic:blipFill>
                <pic:spPr>
                  <a:xfrm>
                    <a:off x="0" y="0"/>
                    <a:ext cx="1934889" cy="605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260" w:rsidRDefault="00000000" w14:paraId="365BC19B" w14:textId="59F1BE79">
    <w:pPr>
      <w:pStyle w:val="Header"/>
    </w:pPr>
    <w:r>
      <w:rPr>
        <w:noProof/>
      </w:rPr>
      <w:pict w14:anchorId="7980B6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style="position:absolute;margin-left:0;margin-top:0;width:583.25pt;height:53pt;rotation:315;z-index:-251658240;mso-position-horizontal:center;mso-position-horizontal-relative:margin;mso-position-vertical:center;mso-position-vertical-relative:margin" o:spid="_x0000_s1025" o:allowincell="f" fillcolor="silver" stroked="f" type="#_x0000_t136">
          <v:fill opacity=".5"/>
          <v:textpath style="font-family:&quot;Arial&quot;;font-size:1pt" string="DRAFT FOR DISCUS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D9298A8"/>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23739C8"/>
    <w:multiLevelType w:val="hybridMultilevel"/>
    <w:tmpl w:val="FFF0605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04C65B9A"/>
    <w:multiLevelType w:val="hybridMultilevel"/>
    <w:tmpl w:val="FAFA02D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 w15:restartNumberingAfterBreak="0">
    <w:nsid w:val="0EE6481C"/>
    <w:multiLevelType w:val="multilevel"/>
    <w:tmpl w:val="1F36C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2A5043"/>
    <w:multiLevelType w:val="multilevel"/>
    <w:tmpl w:val="A9C8DA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44716C4"/>
    <w:multiLevelType w:val="multilevel"/>
    <w:tmpl w:val="3CEE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8CB052D"/>
    <w:multiLevelType w:val="hybridMultilevel"/>
    <w:tmpl w:val="CB04FA7A"/>
    <w:lvl w:ilvl="0" w:tplc="08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3A307971"/>
    <w:multiLevelType w:val="multilevel"/>
    <w:tmpl w:val="5706E46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E1A34AE"/>
    <w:multiLevelType w:val="hybridMultilevel"/>
    <w:tmpl w:val="5A5C17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B071F"/>
    <w:multiLevelType w:val="hybridMultilevel"/>
    <w:tmpl w:val="F25C6616"/>
    <w:lvl w:ilvl="0" w:tplc="0809000F">
      <w:start w:val="1"/>
      <w:numFmt w:val="decimal"/>
      <w:lvlText w:val="%1."/>
      <w:lvlJc w:val="left"/>
      <w:pPr>
        <w:ind w:left="720" w:hanging="360"/>
      </w:pPr>
    </w:lvl>
    <w:lvl w:ilvl="1" w:tplc="E5E8A16A">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FF6A00"/>
    <w:multiLevelType w:val="multilevel"/>
    <w:tmpl w:val="5706E46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FE07BDB"/>
    <w:multiLevelType w:val="hybridMultilevel"/>
    <w:tmpl w:val="925ECAB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2" w15:restartNumberingAfterBreak="0">
    <w:nsid w:val="506B60C1"/>
    <w:multiLevelType w:val="multilevel"/>
    <w:tmpl w:val="218AFD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56719E0"/>
    <w:multiLevelType w:val="hybridMultilevel"/>
    <w:tmpl w:val="CDBAE3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EA522CE"/>
    <w:multiLevelType w:val="hybridMultilevel"/>
    <w:tmpl w:val="049A0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065BAF"/>
    <w:multiLevelType w:val="hybridMultilevel"/>
    <w:tmpl w:val="012C2D9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num w:numId="1" w16cid:durableId="1791823965">
    <w:abstractNumId w:val="0"/>
  </w:num>
  <w:num w:numId="2" w16cid:durableId="957417156">
    <w:abstractNumId w:val="11"/>
  </w:num>
  <w:num w:numId="3" w16cid:durableId="973173036">
    <w:abstractNumId w:val="15"/>
  </w:num>
  <w:num w:numId="4" w16cid:durableId="1262102183">
    <w:abstractNumId w:val="2"/>
  </w:num>
  <w:num w:numId="5" w16cid:durableId="370150476">
    <w:abstractNumId w:val="1"/>
  </w:num>
  <w:num w:numId="6" w16cid:durableId="425343785">
    <w:abstractNumId w:val="13"/>
  </w:num>
  <w:num w:numId="7" w16cid:durableId="881282404">
    <w:abstractNumId w:val="6"/>
  </w:num>
  <w:num w:numId="8" w16cid:durableId="2012292818">
    <w:abstractNumId w:val="10"/>
  </w:num>
  <w:num w:numId="9" w16cid:durableId="336156434">
    <w:abstractNumId w:val="3"/>
  </w:num>
  <w:num w:numId="10" w16cid:durableId="699283624">
    <w:abstractNumId w:val="12"/>
  </w:num>
  <w:num w:numId="11" w16cid:durableId="794904226">
    <w:abstractNumId w:val="5"/>
  </w:num>
  <w:num w:numId="12" w16cid:durableId="1061439773">
    <w:abstractNumId w:val="4"/>
  </w:num>
  <w:num w:numId="13" w16cid:durableId="770904430">
    <w:abstractNumId w:val="7"/>
  </w:num>
  <w:num w:numId="14" w16cid:durableId="287129489">
    <w:abstractNumId w:val="14"/>
  </w:num>
  <w:num w:numId="15" w16cid:durableId="378092836">
    <w:abstractNumId w:val="9"/>
  </w:num>
  <w:num w:numId="16" w16cid:durableId="289943863">
    <w:abstractNumId w:val="8"/>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41B"/>
    <w:rsid w:val="000224B1"/>
    <w:rsid w:val="00024762"/>
    <w:rsid w:val="00034091"/>
    <w:rsid w:val="000378A3"/>
    <w:rsid w:val="000379B8"/>
    <w:rsid w:val="0005160F"/>
    <w:rsid w:val="00062065"/>
    <w:rsid w:val="000706D2"/>
    <w:rsid w:val="00076BD1"/>
    <w:rsid w:val="0008092A"/>
    <w:rsid w:val="00092637"/>
    <w:rsid w:val="000B3C26"/>
    <w:rsid w:val="000B63FB"/>
    <w:rsid w:val="000E4E78"/>
    <w:rsid w:val="000E5022"/>
    <w:rsid w:val="000F07B2"/>
    <w:rsid w:val="001146AC"/>
    <w:rsid w:val="00122A3C"/>
    <w:rsid w:val="001239AF"/>
    <w:rsid w:val="001375E3"/>
    <w:rsid w:val="00141E66"/>
    <w:rsid w:val="00146672"/>
    <w:rsid w:val="001A420E"/>
    <w:rsid w:val="001C1D97"/>
    <w:rsid w:val="001C2487"/>
    <w:rsid w:val="001C55DB"/>
    <w:rsid w:val="001D4379"/>
    <w:rsid w:val="001E02AC"/>
    <w:rsid w:val="001F1259"/>
    <w:rsid w:val="001F3EA1"/>
    <w:rsid w:val="001F50B3"/>
    <w:rsid w:val="00204DDB"/>
    <w:rsid w:val="002069A6"/>
    <w:rsid w:val="00216B0C"/>
    <w:rsid w:val="00227BA4"/>
    <w:rsid w:val="00244A7C"/>
    <w:rsid w:val="00250EDF"/>
    <w:rsid w:val="00253766"/>
    <w:rsid w:val="002574B4"/>
    <w:rsid w:val="0027187E"/>
    <w:rsid w:val="00276DFC"/>
    <w:rsid w:val="00277C48"/>
    <w:rsid w:val="002B43BA"/>
    <w:rsid w:val="002D1588"/>
    <w:rsid w:val="002E3C22"/>
    <w:rsid w:val="00301C91"/>
    <w:rsid w:val="00302499"/>
    <w:rsid w:val="00306783"/>
    <w:rsid w:val="00324BCA"/>
    <w:rsid w:val="003256F1"/>
    <w:rsid w:val="00330715"/>
    <w:rsid w:val="003448BD"/>
    <w:rsid w:val="0034605E"/>
    <w:rsid w:val="00351327"/>
    <w:rsid w:val="0035436C"/>
    <w:rsid w:val="00355572"/>
    <w:rsid w:val="00361B23"/>
    <w:rsid w:val="00372EE2"/>
    <w:rsid w:val="00387598"/>
    <w:rsid w:val="003A1289"/>
    <w:rsid w:val="003A1C63"/>
    <w:rsid w:val="003D472A"/>
    <w:rsid w:val="003D76DF"/>
    <w:rsid w:val="00405A3E"/>
    <w:rsid w:val="004074D8"/>
    <w:rsid w:val="00407F12"/>
    <w:rsid w:val="00412D7B"/>
    <w:rsid w:val="00417F09"/>
    <w:rsid w:val="00424A2C"/>
    <w:rsid w:val="00424B29"/>
    <w:rsid w:val="0043435F"/>
    <w:rsid w:val="00444083"/>
    <w:rsid w:val="00455E88"/>
    <w:rsid w:val="00457C61"/>
    <w:rsid w:val="00457CA5"/>
    <w:rsid w:val="00470E60"/>
    <w:rsid w:val="00472AE0"/>
    <w:rsid w:val="004776F4"/>
    <w:rsid w:val="004A7C45"/>
    <w:rsid w:val="004C0B8E"/>
    <w:rsid w:val="004E2EF3"/>
    <w:rsid w:val="004F6168"/>
    <w:rsid w:val="004F6501"/>
    <w:rsid w:val="00520336"/>
    <w:rsid w:val="00532604"/>
    <w:rsid w:val="005349DE"/>
    <w:rsid w:val="00563560"/>
    <w:rsid w:val="0057283F"/>
    <w:rsid w:val="00580B83"/>
    <w:rsid w:val="00593770"/>
    <w:rsid w:val="005B1B81"/>
    <w:rsid w:val="005B3C4C"/>
    <w:rsid w:val="005B3EDB"/>
    <w:rsid w:val="005B6F76"/>
    <w:rsid w:val="005C0ABC"/>
    <w:rsid w:val="005C7263"/>
    <w:rsid w:val="005C7663"/>
    <w:rsid w:val="005D070F"/>
    <w:rsid w:val="005E16A0"/>
    <w:rsid w:val="005E2A29"/>
    <w:rsid w:val="005E52AF"/>
    <w:rsid w:val="005E76BD"/>
    <w:rsid w:val="005F30EE"/>
    <w:rsid w:val="006002CC"/>
    <w:rsid w:val="00624391"/>
    <w:rsid w:val="00624EB2"/>
    <w:rsid w:val="00626682"/>
    <w:rsid w:val="0063066F"/>
    <w:rsid w:val="0066313C"/>
    <w:rsid w:val="00667A13"/>
    <w:rsid w:val="006860AC"/>
    <w:rsid w:val="006903C9"/>
    <w:rsid w:val="006972E0"/>
    <w:rsid w:val="006D541B"/>
    <w:rsid w:val="006E629B"/>
    <w:rsid w:val="006E714D"/>
    <w:rsid w:val="0070540F"/>
    <w:rsid w:val="00712A3A"/>
    <w:rsid w:val="0071354A"/>
    <w:rsid w:val="007247F3"/>
    <w:rsid w:val="00742626"/>
    <w:rsid w:val="00743C12"/>
    <w:rsid w:val="00745FED"/>
    <w:rsid w:val="00773C9E"/>
    <w:rsid w:val="00775C5A"/>
    <w:rsid w:val="007806E4"/>
    <w:rsid w:val="00782D27"/>
    <w:rsid w:val="007859CA"/>
    <w:rsid w:val="007957F2"/>
    <w:rsid w:val="007B0978"/>
    <w:rsid w:val="007C09C5"/>
    <w:rsid w:val="007C14EC"/>
    <w:rsid w:val="007C3E4B"/>
    <w:rsid w:val="007C7002"/>
    <w:rsid w:val="007D6904"/>
    <w:rsid w:val="007D778B"/>
    <w:rsid w:val="007E269A"/>
    <w:rsid w:val="007F3B5C"/>
    <w:rsid w:val="00805B70"/>
    <w:rsid w:val="00813C6B"/>
    <w:rsid w:val="008644DA"/>
    <w:rsid w:val="0086784F"/>
    <w:rsid w:val="00894E79"/>
    <w:rsid w:val="008A2375"/>
    <w:rsid w:val="008B2464"/>
    <w:rsid w:val="008B5D7E"/>
    <w:rsid w:val="008C541D"/>
    <w:rsid w:val="008E0977"/>
    <w:rsid w:val="008E5552"/>
    <w:rsid w:val="008F28CB"/>
    <w:rsid w:val="009164F3"/>
    <w:rsid w:val="009317C5"/>
    <w:rsid w:val="00935260"/>
    <w:rsid w:val="009639B1"/>
    <w:rsid w:val="00966C31"/>
    <w:rsid w:val="009727E6"/>
    <w:rsid w:val="00972C09"/>
    <w:rsid w:val="00977406"/>
    <w:rsid w:val="00977FB8"/>
    <w:rsid w:val="00983E7B"/>
    <w:rsid w:val="00985B73"/>
    <w:rsid w:val="00995639"/>
    <w:rsid w:val="00996C34"/>
    <w:rsid w:val="009B1AE1"/>
    <w:rsid w:val="009D2C07"/>
    <w:rsid w:val="009E00B6"/>
    <w:rsid w:val="009E68DD"/>
    <w:rsid w:val="009F5DA8"/>
    <w:rsid w:val="00A0058A"/>
    <w:rsid w:val="00A2234A"/>
    <w:rsid w:val="00A240BF"/>
    <w:rsid w:val="00A26FD4"/>
    <w:rsid w:val="00A330C1"/>
    <w:rsid w:val="00A44DE9"/>
    <w:rsid w:val="00A50804"/>
    <w:rsid w:val="00A90EFC"/>
    <w:rsid w:val="00AC35E2"/>
    <w:rsid w:val="00AC3B45"/>
    <w:rsid w:val="00AD58D0"/>
    <w:rsid w:val="00AE2B13"/>
    <w:rsid w:val="00B00D17"/>
    <w:rsid w:val="00B02227"/>
    <w:rsid w:val="00B20412"/>
    <w:rsid w:val="00B2190E"/>
    <w:rsid w:val="00B33723"/>
    <w:rsid w:val="00B407D0"/>
    <w:rsid w:val="00B417AB"/>
    <w:rsid w:val="00B47B98"/>
    <w:rsid w:val="00B61EB8"/>
    <w:rsid w:val="00B650A8"/>
    <w:rsid w:val="00B83156"/>
    <w:rsid w:val="00B969FD"/>
    <w:rsid w:val="00BB22D4"/>
    <w:rsid w:val="00BB3FD7"/>
    <w:rsid w:val="00BC2D33"/>
    <w:rsid w:val="00BD01FC"/>
    <w:rsid w:val="00BD48D0"/>
    <w:rsid w:val="00BD65BC"/>
    <w:rsid w:val="00BE0E05"/>
    <w:rsid w:val="00BE755D"/>
    <w:rsid w:val="00C25143"/>
    <w:rsid w:val="00C44C58"/>
    <w:rsid w:val="00C7756B"/>
    <w:rsid w:val="00C82292"/>
    <w:rsid w:val="00C93B49"/>
    <w:rsid w:val="00CD6F72"/>
    <w:rsid w:val="00CE6B44"/>
    <w:rsid w:val="00CF50EC"/>
    <w:rsid w:val="00D076CF"/>
    <w:rsid w:val="00D12FF4"/>
    <w:rsid w:val="00D132AC"/>
    <w:rsid w:val="00D20339"/>
    <w:rsid w:val="00D40DA5"/>
    <w:rsid w:val="00D466F5"/>
    <w:rsid w:val="00D545CE"/>
    <w:rsid w:val="00D601AA"/>
    <w:rsid w:val="00D712A3"/>
    <w:rsid w:val="00D756A5"/>
    <w:rsid w:val="00D8038B"/>
    <w:rsid w:val="00D84BF4"/>
    <w:rsid w:val="00DA05CD"/>
    <w:rsid w:val="00DA1D27"/>
    <w:rsid w:val="00DA672F"/>
    <w:rsid w:val="00DA68AD"/>
    <w:rsid w:val="00DD1531"/>
    <w:rsid w:val="00DE6FBC"/>
    <w:rsid w:val="00DF033E"/>
    <w:rsid w:val="00DF2E24"/>
    <w:rsid w:val="00DF40FF"/>
    <w:rsid w:val="00E153BC"/>
    <w:rsid w:val="00E22BE1"/>
    <w:rsid w:val="00E31EAC"/>
    <w:rsid w:val="00E414A4"/>
    <w:rsid w:val="00E4283D"/>
    <w:rsid w:val="00E516F3"/>
    <w:rsid w:val="00E51CAD"/>
    <w:rsid w:val="00E54C55"/>
    <w:rsid w:val="00E57936"/>
    <w:rsid w:val="00E652F7"/>
    <w:rsid w:val="00E83304"/>
    <w:rsid w:val="00EA36C0"/>
    <w:rsid w:val="00EA5510"/>
    <w:rsid w:val="00EB620D"/>
    <w:rsid w:val="00EC5094"/>
    <w:rsid w:val="00ED40C0"/>
    <w:rsid w:val="00EE2609"/>
    <w:rsid w:val="00EE357C"/>
    <w:rsid w:val="00F0223D"/>
    <w:rsid w:val="00F03B30"/>
    <w:rsid w:val="00F17786"/>
    <w:rsid w:val="00F21374"/>
    <w:rsid w:val="00F33CB1"/>
    <w:rsid w:val="00F34262"/>
    <w:rsid w:val="00F34BD2"/>
    <w:rsid w:val="00F35431"/>
    <w:rsid w:val="00F51C34"/>
    <w:rsid w:val="00F56BC0"/>
    <w:rsid w:val="00F72FD9"/>
    <w:rsid w:val="00FD5853"/>
    <w:rsid w:val="00FE3070"/>
    <w:rsid w:val="00FE3C0A"/>
    <w:rsid w:val="10E41D0A"/>
    <w:rsid w:val="1467585D"/>
    <w:rsid w:val="1BEB0AD7"/>
    <w:rsid w:val="1C31CD07"/>
    <w:rsid w:val="1EBB87CD"/>
    <w:rsid w:val="2626637F"/>
    <w:rsid w:val="2E66A622"/>
    <w:rsid w:val="324560FF"/>
    <w:rsid w:val="3C543F02"/>
    <w:rsid w:val="3DFFE6D4"/>
    <w:rsid w:val="3F845DEB"/>
    <w:rsid w:val="479228AA"/>
    <w:rsid w:val="4E546F8C"/>
    <w:rsid w:val="5C9DF867"/>
    <w:rsid w:val="65E33673"/>
    <w:rsid w:val="724BB50A"/>
    <w:rsid w:val="74A703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99CAC"/>
  <w15:chartTrackingRefBased/>
  <w15:docId w15:val="{1D691D06-3999-4C3E-8169-BA3EA8593B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line="278" w:lineRule="atLeast"/>
    </w:pPr>
    <w:rPr>
      <w:rFonts w:ascii="Arial" w:hAnsi="Arial" w:cs="Arial"/>
    </w:rPr>
  </w:style>
  <w:style w:type="paragraph" w:styleId="Heading1">
    <w:name w:val="heading 1"/>
    <w:basedOn w:val="Normal"/>
    <w:next w:val="Normal"/>
    <w:link w:val="Heading1Char"/>
    <w:uiPriority w:val="9"/>
    <w:qFormat/>
    <w:rsid w:val="006D541B"/>
    <w:pPr>
      <w:keepNext/>
      <w:keepLines/>
      <w:spacing w:before="240" w:after="120"/>
      <w:outlineLvl w:val="0"/>
    </w:pPr>
    <w:rPr>
      <w:rFonts w:eastAsiaTheme="majorEastAsia"/>
      <w:color w:val="1F4E79"/>
      <w:sz w:val="28"/>
      <w:szCs w:val="40"/>
    </w:rPr>
  </w:style>
  <w:style w:type="paragraph" w:styleId="Heading2">
    <w:name w:val="heading 2"/>
    <w:basedOn w:val="Normal"/>
    <w:next w:val="Normal"/>
    <w:link w:val="Heading2Char"/>
    <w:uiPriority w:val="9"/>
    <w:semiHidden/>
    <w:unhideWhenUsed/>
    <w:qFormat/>
    <w:rsid w:val="006D541B"/>
    <w:pPr>
      <w:keepNext/>
      <w:keepLines/>
      <w:spacing w:before="160" w:after="80"/>
      <w:outlineLvl w:val="1"/>
    </w:pPr>
    <w:rPr>
      <w:rFonts w:eastAsiaTheme="majorEastAsia"/>
      <w:color w:val="1F4E79"/>
      <w:szCs w:val="32"/>
    </w:rPr>
  </w:style>
  <w:style w:type="paragraph" w:styleId="Heading3">
    <w:name w:val="heading 3"/>
    <w:basedOn w:val="Normal"/>
    <w:next w:val="Normal"/>
    <w:link w:val="Heading3Char"/>
    <w:uiPriority w:val="9"/>
    <w:semiHidden/>
    <w:unhideWhenUsed/>
    <w:qFormat/>
    <w:rsid w:val="006D54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54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54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54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4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4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41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D541B"/>
    <w:rPr>
      <w:rFonts w:ascii="Arial" w:hAnsi="Arial" w:cs="Arial" w:eastAsiaTheme="majorEastAsia"/>
      <w:color w:val="1F4E79"/>
      <w:sz w:val="28"/>
      <w:szCs w:val="40"/>
    </w:rPr>
  </w:style>
  <w:style w:type="character" w:styleId="Heading2Char" w:customStyle="1">
    <w:name w:val="Heading 2 Char"/>
    <w:basedOn w:val="DefaultParagraphFont"/>
    <w:link w:val="Heading2"/>
    <w:uiPriority w:val="9"/>
    <w:semiHidden/>
    <w:rsid w:val="006D541B"/>
    <w:rPr>
      <w:rFonts w:ascii="Arial" w:hAnsi="Arial" w:cs="Arial" w:eastAsiaTheme="majorEastAsia"/>
      <w:color w:val="1F4E79"/>
      <w:szCs w:val="32"/>
    </w:rPr>
  </w:style>
  <w:style w:type="character" w:styleId="Heading3Char" w:customStyle="1">
    <w:name w:val="Heading 3 Char"/>
    <w:basedOn w:val="DefaultParagraphFont"/>
    <w:link w:val="Heading3"/>
    <w:uiPriority w:val="9"/>
    <w:semiHidden/>
    <w:rsid w:val="006D541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D541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D541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D541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D541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D541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D541B"/>
    <w:rPr>
      <w:rFonts w:eastAsiaTheme="majorEastAsia" w:cstheme="majorBidi"/>
      <w:color w:val="272727" w:themeColor="text1" w:themeTint="D8"/>
    </w:rPr>
  </w:style>
  <w:style w:type="paragraph" w:styleId="Title">
    <w:name w:val="Title"/>
    <w:basedOn w:val="Normal"/>
    <w:next w:val="Normal"/>
    <w:link w:val="TitleChar"/>
    <w:uiPriority w:val="10"/>
    <w:qFormat/>
    <w:rsid w:val="006D541B"/>
    <w:pPr>
      <w:spacing w:after="80"/>
      <w:contextualSpacing/>
    </w:pPr>
    <w:rPr>
      <w:rFonts w:eastAsiaTheme="majorEastAsia"/>
      <w:spacing w:val="-10"/>
      <w:kern w:val="28"/>
      <w:sz w:val="32"/>
      <w:szCs w:val="56"/>
    </w:rPr>
  </w:style>
  <w:style w:type="character" w:styleId="TitleChar" w:customStyle="1">
    <w:name w:val="Title Char"/>
    <w:basedOn w:val="DefaultParagraphFont"/>
    <w:link w:val="Title"/>
    <w:uiPriority w:val="10"/>
    <w:rsid w:val="006D541B"/>
    <w:rPr>
      <w:rFonts w:ascii="Arial" w:hAnsi="Arial" w:cs="Arial" w:eastAsiaTheme="majorEastAsia"/>
      <w:spacing w:val="-10"/>
      <w:kern w:val="28"/>
      <w:sz w:val="32"/>
      <w:szCs w:val="56"/>
    </w:rPr>
  </w:style>
  <w:style w:type="paragraph" w:styleId="Subtitle">
    <w:name w:val="Subtitle"/>
    <w:basedOn w:val="Normal"/>
    <w:next w:val="Normal"/>
    <w:link w:val="SubtitleChar"/>
    <w:uiPriority w:val="11"/>
    <w:qFormat/>
    <w:rsid w:val="006D541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D54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41B"/>
    <w:pPr>
      <w:spacing w:before="160"/>
      <w:jc w:val="center"/>
    </w:pPr>
    <w:rPr>
      <w:i/>
      <w:iCs/>
      <w:color w:val="404040" w:themeColor="text1" w:themeTint="BF"/>
    </w:rPr>
  </w:style>
  <w:style w:type="character" w:styleId="QuoteChar" w:customStyle="1">
    <w:name w:val="Quote Char"/>
    <w:basedOn w:val="DefaultParagraphFont"/>
    <w:link w:val="Quote"/>
    <w:uiPriority w:val="29"/>
    <w:rsid w:val="006D541B"/>
    <w:rPr>
      <w:i/>
      <w:iCs/>
      <w:color w:val="404040" w:themeColor="text1" w:themeTint="BF"/>
    </w:rPr>
  </w:style>
  <w:style w:type="paragraph" w:styleId="ListParagraph">
    <w:name w:val="List Paragraph"/>
    <w:basedOn w:val="Normal"/>
    <w:uiPriority w:val="34"/>
    <w:qFormat/>
    <w:rsid w:val="006D541B"/>
    <w:pPr>
      <w:ind w:left="720"/>
      <w:contextualSpacing/>
    </w:pPr>
  </w:style>
  <w:style w:type="character" w:styleId="IntenseEmphasis">
    <w:name w:val="Intense Emphasis"/>
    <w:basedOn w:val="DefaultParagraphFont"/>
    <w:uiPriority w:val="21"/>
    <w:qFormat/>
    <w:rsid w:val="006D541B"/>
    <w:rPr>
      <w:i/>
      <w:iCs/>
      <w:color w:val="0F4761" w:themeColor="accent1" w:themeShade="BF"/>
    </w:rPr>
  </w:style>
  <w:style w:type="paragraph" w:styleId="IntenseQuote">
    <w:name w:val="Intense Quote"/>
    <w:basedOn w:val="Normal"/>
    <w:next w:val="Normal"/>
    <w:link w:val="IntenseQuoteChar"/>
    <w:uiPriority w:val="30"/>
    <w:qFormat/>
    <w:rsid w:val="006D541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D541B"/>
    <w:rPr>
      <w:i/>
      <w:iCs/>
      <w:color w:val="0F4761" w:themeColor="accent1" w:themeShade="BF"/>
    </w:rPr>
  </w:style>
  <w:style w:type="character" w:styleId="IntenseReference">
    <w:name w:val="Intense Reference"/>
    <w:basedOn w:val="DefaultParagraphFont"/>
    <w:uiPriority w:val="32"/>
    <w:qFormat/>
    <w:rsid w:val="006D541B"/>
    <w:rPr>
      <w:b/>
      <w:bCs/>
      <w:smallCaps/>
      <w:color w:val="0F4761" w:themeColor="accent1" w:themeShade="BF"/>
      <w:spacing w:val="5"/>
    </w:rPr>
  </w:style>
  <w:style w:type="paragraph" w:styleId="ListBullet">
    <w:name w:val="List Bullet"/>
    <w:basedOn w:val="Normal"/>
    <w:uiPriority w:val="99"/>
    <w:unhideWhenUsed/>
    <w:rsid w:val="006D541B"/>
    <w:pPr>
      <w:numPr>
        <w:numId w:val="1"/>
      </w:numPr>
      <w:spacing w:after="200" w:line="276" w:lineRule="auto"/>
      <w:contextualSpacing/>
    </w:pPr>
    <w:rPr>
      <w:rFonts w:ascii="Aptos" w:hAnsi="Aptos" w:eastAsia="Aptos"/>
      <w:color w:val="1F1F1F"/>
      <w:kern w:val="0"/>
      <w:sz w:val="21"/>
      <w:szCs w:val="22"/>
      <w:lang w:val="en-US"/>
      <w14:ligatures w14:val="none"/>
    </w:rPr>
  </w:style>
  <w:style w:type="paragraph" w:styleId="Header">
    <w:name w:val="header"/>
    <w:basedOn w:val="Normal"/>
    <w:link w:val="HeaderChar"/>
    <w:uiPriority w:val="99"/>
    <w:unhideWhenUsed/>
    <w:rsid w:val="00C25143"/>
    <w:pPr>
      <w:tabs>
        <w:tab w:val="center" w:pos="4513"/>
        <w:tab w:val="right" w:pos="9026"/>
      </w:tabs>
      <w:spacing w:after="0" w:line="240" w:lineRule="auto"/>
    </w:pPr>
  </w:style>
  <w:style w:type="character" w:styleId="HeaderChar" w:customStyle="1">
    <w:name w:val="Header Char"/>
    <w:basedOn w:val="DefaultParagraphFont"/>
    <w:link w:val="Header"/>
    <w:uiPriority w:val="99"/>
    <w:rsid w:val="00C25143"/>
  </w:style>
  <w:style w:type="paragraph" w:styleId="Footer">
    <w:name w:val="footer"/>
    <w:basedOn w:val="Normal"/>
    <w:link w:val="FooterChar"/>
    <w:uiPriority w:val="99"/>
    <w:unhideWhenUsed/>
    <w:rsid w:val="00C25143"/>
    <w:pPr>
      <w:tabs>
        <w:tab w:val="center" w:pos="4513"/>
        <w:tab w:val="right" w:pos="9026"/>
      </w:tabs>
      <w:spacing w:after="0" w:line="240" w:lineRule="auto"/>
    </w:pPr>
  </w:style>
  <w:style w:type="character" w:styleId="FooterChar" w:customStyle="1">
    <w:name w:val="Footer Char"/>
    <w:basedOn w:val="DefaultParagraphFont"/>
    <w:link w:val="Footer"/>
    <w:uiPriority w:val="99"/>
    <w:rsid w:val="00C25143"/>
  </w:style>
  <w:style w:type="character" w:styleId="BookTitle">
    <w:name w:val="Book Title"/>
    <w:basedOn w:val="DefaultParagraphFont"/>
    <w:uiPriority w:val="33"/>
    <w:qFormat/>
    <w:rsid w:val="00935260"/>
    <w:rPr>
      <w:b/>
      <w:bCs/>
      <w:i/>
      <w:iCs/>
      <w:spacing w:val="5"/>
    </w:rPr>
  </w:style>
  <w:style w:type="paragraph" w:styleId="Caption">
    <w:name w:val="caption"/>
    <w:basedOn w:val="Normal"/>
    <w:next w:val="Normal"/>
    <w:uiPriority w:val="35"/>
    <w:semiHidden/>
    <w:unhideWhenUsed/>
    <w:qFormat/>
    <w:rsid w:val="00935260"/>
    <w:pPr>
      <w:spacing w:after="200" w:line="240" w:lineRule="auto"/>
    </w:pPr>
    <w:rPr>
      <w:i/>
      <w:iCs/>
      <w:color w:val="0E2841" w:themeColor="text2"/>
      <w:sz w:val="18"/>
      <w:szCs w:val="18"/>
    </w:rPr>
  </w:style>
  <w:style w:type="character" w:styleId="Emphasis">
    <w:name w:val="Emphasis"/>
    <w:basedOn w:val="DefaultParagraphFont"/>
    <w:uiPriority w:val="20"/>
    <w:qFormat/>
    <w:rsid w:val="00935260"/>
    <w:rPr>
      <w:i/>
      <w:iCs/>
    </w:rPr>
  </w:style>
  <w:style w:type="paragraph" w:styleId="NoSpacing">
    <w:name w:val="No Spacing"/>
    <w:uiPriority w:val="1"/>
    <w:qFormat/>
    <w:rsid w:val="00935260"/>
    <w:pPr>
      <w:spacing w:after="0" w:line="240" w:lineRule="auto"/>
    </w:pPr>
  </w:style>
  <w:style w:type="character" w:styleId="Strong">
    <w:name w:val="Strong"/>
    <w:basedOn w:val="DefaultParagraphFont"/>
    <w:uiPriority w:val="22"/>
    <w:qFormat/>
    <w:rsid w:val="00935260"/>
    <w:rPr>
      <w:b/>
      <w:bCs/>
    </w:rPr>
  </w:style>
  <w:style w:type="character" w:styleId="SubtleEmphasis">
    <w:name w:val="Subtle Emphasis"/>
    <w:basedOn w:val="DefaultParagraphFont"/>
    <w:uiPriority w:val="19"/>
    <w:qFormat/>
    <w:rsid w:val="00935260"/>
    <w:rPr>
      <w:i/>
      <w:iCs/>
      <w:color w:val="404040" w:themeColor="text1" w:themeTint="BF"/>
    </w:rPr>
  </w:style>
  <w:style w:type="character" w:styleId="SubtleReference">
    <w:name w:val="Subtle Reference"/>
    <w:basedOn w:val="DefaultParagraphFont"/>
    <w:uiPriority w:val="31"/>
    <w:qFormat/>
    <w:rsid w:val="00935260"/>
    <w:rPr>
      <w:smallCaps/>
      <w:color w:val="5A5A5A" w:themeColor="text1" w:themeTint="A5"/>
    </w:rPr>
  </w:style>
  <w:style w:type="paragraph" w:styleId="TOCHeading">
    <w:name w:val="TOC Heading"/>
    <w:basedOn w:val="Heading1"/>
    <w:next w:val="Normal"/>
    <w:uiPriority w:val="39"/>
    <w:semiHidden/>
    <w:unhideWhenUsed/>
    <w:qFormat/>
    <w:rsid w:val="00935260"/>
    <w:pPr>
      <w:spacing w:after="0"/>
      <w:outlineLvl w:val="9"/>
    </w:pPr>
    <w:rPr>
      <w:sz w:val="32"/>
      <w:szCs w:val="32"/>
    </w:rPr>
  </w:style>
  <w:style w:type="paragraph" w:styleId="NormalWeb">
    <w:name w:val="Normal (Web)"/>
    <w:basedOn w:val="Normal"/>
    <w:uiPriority w:val="99"/>
    <w:semiHidden/>
    <w:unhideWhenUsed/>
    <w:rsid w:val="008F28CB"/>
    <w:pPr>
      <w:spacing w:before="100" w:beforeAutospacing="1" w:after="100" w:afterAutospacing="1" w:line="240" w:lineRule="auto"/>
    </w:pPr>
    <w:rPr>
      <w:rFonts w:ascii="Times New Roman" w:hAnsi="Times New Roman" w:cs="Times New Roman" w:eastAsiaTheme="minorEastAsia"/>
      <w:kern w:val="0"/>
      <w:lang w:eastAsia="en-GB"/>
      <w14:ligatures w14:val="none"/>
    </w:rPr>
  </w:style>
  <w:style w:type="table" w:styleId="GridTable4-Accent1">
    <w:name w:val="Grid Table 4 Accent 1"/>
    <w:basedOn w:val="TableNormal"/>
    <w:uiPriority w:val="49"/>
    <w:rsid w:val="00BD48D0"/>
    <w:pPr>
      <w:spacing w:after="0" w:line="240" w:lineRule="auto"/>
    </w:p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FootnoteText">
    <w:name w:val="footnote text"/>
    <w:basedOn w:val="Normal"/>
    <w:link w:val="FootnoteTextChar"/>
    <w:uiPriority w:val="99"/>
    <w:semiHidden/>
    <w:unhideWhenUsed/>
    <w:rsid w:val="000706D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0706D2"/>
    <w:rPr>
      <w:rFonts w:ascii="Arial" w:hAnsi="Arial" w:cs="Arial"/>
      <w:sz w:val="20"/>
      <w:szCs w:val="20"/>
    </w:rPr>
  </w:style>
  <w:style w:type="character" w:styleId="FootnoteReference">
    <w:name w:val="footnote reference"/>
    <w:basedOn w:val="DefaultParagraphFont"/>
    <w:uiPriority w:val="99"/>
    <w:semiHidden/>
    <w:unhideWhenUsed/>
    <w:rsid w:val="000706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75DDBEE13B4389C6CEBD7DEBCBB6" ma:contentTypeVersion="14" ma:contentTypeDescription="Create a new document." ma:contentTypeScope="" ma:versionID="a80c3b97c0c1fe4e2f81a323de2bbe2f">
  <xsd:schema xmlns:xsd="http://www.w3.org/2001/XMLSchema" xmlns:xs="http://www.w3.org/2001/XMLSchema" xmlns:p="http://schemas.microsoft.com/office/2006/metadata/properties" xmlns:ns2="2f84826b-7353-4215-9cbe-a499127d84ed" xmlns:ns3="8c0f612a-290c-404b-bcbd-3771e14ad732" targetNamespace="http://schemas.microsoft.com/office/2006/metadata/properties" ma:root="true" ma:fieldsID="4d4d0e5cae1e843001d3b10e3cd29aba" ns2:_="" ns3:_="">
    <xsd:import namespace="2f84826b-7353-4215-9cbe-a499127d84ed"/>
    <xsd:import namespace="8c0f612a-290c-404b-bcbd-3771e14ad7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4826b-7353-4215-9cbe-a499127d8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1bf2bdb-7ebc-4f38-9d7b-024a2b106e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0f612a-290c-404b-bcbd-3771e14ad7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2939da-cc71-4692-b166-2b785f525ba8}" ma:internalName="TaxCatchAll" ma:showField="CatchAllData" ma:web="8c0f612a-290c-404b-bcbd-3771e14ad7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84826b-7353-4215-9cbe-a499127d84ed">
      <Terms xmlns="http://schemas.microsoft.com/office/infopath/2007/PartnerControls"/>
    </lcf76f155ced4ddcb4097134ff3c332f>
    <TaxCatchAll xmlns="8c0f612a-290c-404b-bcbd-3771e14ad7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2B442-7A2D-4C20-8FBD-FC6B708CA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4826b-7353-4215-9cbe-a499127d84ed"/>
    <ds:schemaRef ds:uri="8c0f612a-290c-404b-bcbd-3771e14ad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4ADD2-6A02-4310-B96E-0C9A19B478C2}">
  <ds:schemaRefs>
    <ds:schemaRef ds:uri="http://schemas.openxmlformats.org/officeDocument/2006/bibliography"/>
  </ds:schemaRefs>
</ds:datastoreItem>
</file>

<file path=customXml/itemProps3.xml><?xml version="1.0" encoding="utf-8"?>
<ds:datastoreItem xmlns:ds="http://schemas.openxmlformats.org/officeDocument/2006/customXml" ds:itemID="{A504B50B-B365-4467-9A4F-C1811A7C5846}">
  <ds:schemaRefs>
    <ds:schemaRef ds:uri="http://schemas.microsoft.com/office/2006/metadata/properties"/>
    <ds:schemaRef ds:uri="http://schemas.microsoft.com/office/infopath/2007/PartnerControls"/>
    <ds:schemaRef ds:uri="2f84826b-7353-4215-9cbe-a499127d84ed"/>
    <ds:schemaRef ds:uri="8c0f612a-290c-404b-bcbd-3771e14ad732"/>
  </ds:schemaRefs>
</ds:datastoreItem>
</file>

<file path=customXml/itemProps4.xml><?xml version="1.0" encoding="utf-8"?>
<ds:datastoreItem xmlns:ds="http://schemas.openxmlformats.org/officeDocument/2006/customXml" ds:itemID="{717361DD-3D8B-48C0-911B-1707B8E2D0F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brenda kelly</dc:creator>
  <keywords/>
  <dc:description/>
  <lastModifiedBy>Gillian Lewis</lastModifiedBy>
  <revision>87</revision>
  <dcterms:created xsi:type="dcterms:W3CDTF">2026-08-03T18:50:00.0000000Z</dcterms:created>
  <dcterms:modified xsi:type="dcterms:W3CDTF">2026-08-06T17:13:11.4849307Z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0x010100958E75DDBEE13B4389C6CEBD7DEBCBB6</vt:lpwstr>
  </property>
  <property fmtid="{D5CDD505-2E9C-101B-9397-08002B2CF9AE}" pid="3" name="MediaServiceImageTags">
    <vt:lpwstr/>
  </property>
  <property fmtid="{D5CDD505-2E9C-101B-9397-08002B2CF9AE}" pid="5" name="docLang">
    <vt:lpwstr>en</vt:lpwstr>
  </property>
</Properties>
</file>